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1DDB9F">
      <w:pPr>
        <w:pStyle w:val="12"/>
        <w:tabs>
          <w:tab w:val="left" w:pos="2625"/>
        </w:tabs>
        <w:rPr>
          <w:rFonts w:ascii="Times New Roman"/>
          <w:sz w:val="28"/>
          <w:szCs w:val="28"/>
        </w:rPr>
      </w:pPr>
    </w:p>
    <w:p w14:paraId="03979FFF">
      <w:pPr>
        <w:pStyle w:val="12"/>
        <w:tabs>
          <w:tab w:val="left" w:pos="2625"/>
        </w:tabs>
        <w:rPr>
          <w:rFonts w:ascii="Times New Roman"/>
          <w:sz w:val="28"/>
          <w:szCs w:val="28"/>
        </w:rPr>
      </w:pPr>
    </w:p>
    <w:p w14:paraId="3EE6DDCD">
      <w:pPr>
        <w:pStyle w:val="12"/>
        <w:rPr>
          <w:rFonts w:ascii="Times New Roman"/>
          <w:sz w:val="28"/>
          <w:szCs w:val="28"/>
        </w:rPr>
      </w:pPr>
    </w:p>
    <w:p w14:paraId="7F395FB4">
      <w:pPr>
        <w:pStyle w:val="12"/>
        <w:rPr>
          <w:rFonts w:ascii="Times New Roman" w:eastAsia="黑体"/>
          <w:kern w:val="2"/>
          <w:sz w:val="44"/>
          <w:szCs w:val="44"/>
        </w:rPr>
      </w:pPr>
      <w:r>
        <w:rPr>
          <w:rFonts w:hint="eastAsia" w:ascii="Times New Roman" w:eastAsia="黑体"/>
          <w:kern w:val="2"/>
          <w:sz w:val="44"/>
          <w:szCs w:val="44"/>
        </w:rPr>
        <w:t>《动态比表面积分析仪（气相色谱法）校准规范</w:t>
      </w:r>
      <w:r>
        <w:rPr>
          <w:rFonts w:ascii="Times New Roman" w:eastAsia="黑体"/>
          <w:kern w:val="2"/>
          <w:sz w:val="44"/>
          <w:szCs w:val="44"/>
        </w:rPr>
        <w:t>》</w:t>
      </w:r>
    </w:p>
    <w:p w14:paraId="59BA3F68">
      <w:pPr>
        <w:pStyle w:val="12"/>
        <w:rPr>
          <w:rFonts w:ascii="Times New Roman" w:eastAsia="黑体"/>
          <w:kern w:val="2"/>
          <w:sz w:val="44"/>
          <w:szCs w:val="44"/>
        </w:rPr>
      </w:pPr>
      <w:r>
        <w:rPr>
          <w:rFonts w:hint="eastAsia" w:ascii="Times New Roman" w:eastAsia="黑体"/>
          <w:kern w:val="2"/>
          <w:sz w:val="44"/>
          <w:szCs w:val="44"/>
          <w:lang w:eastAsia="zh-CN"/>
        </w:rPr>
        <w:t>国家计量技术规范编写</w:t>
      </w:r>
      <w:r>
        <w:rPr>
          <w:rFonts w:ascii="Times New Roman" w:eastAsia="黑体"/>
          <w:kern w:val="2"/>
          <w:sz w:val="44"/>
          <w:szCs w:val="44"/>
        </w:rPr>
        <w:t>说明</w:t>
      </w:r>
    </w:p>
    <w:p w14:paraId="1E64A7B8">
      <w:pPr>
        <w:pStyle w:val="12"/>
        <w:rPr>
          <w:rFonts w:ascii="Times New Roman"/>
          <w:sz w:val="28"/>
          <w:szCs w:val="28"/>
        </w:rPr>
      </w:pPr>
      <w:r>
        <w:rPr>
          <w:rFonts w:ascii="Times New Roman" w:eastAsia="黑体"/>
          <w:color w:val="000000"/>
          <w:sz w:val="28"/>
          <w:szCs w:val="28"/>
        </w:rPr>
        <w:t xml:space="preserve">  （</w:t>
      </w:r>
      <w:r>
        <w:rPr>
          <w:rFonts w:hint="eastAsia" w:ascii="Times New Roman" w:eastAsia="黑体"/>
          <w:color w:val="000000"/>
          <w:sz w:val="28"/>
          <w:szCs w:val="28"/>
          <w:lang w:val="en-US" w:eastAsia="zh-CN"/>
        </w:rPr>
        <w:t>征求意见</w:t>
      </w:r>
      <w:r>
        <w:rPr>
          <w:rFonts w:ascii="Times New Roman" w:eastAsia="黑体"/>
          <w:color w:val="000000"/>
          <w:sz w:val="28"/>
          <w:szCs w:val="28"/>
        </w:rPr>
        <w:t>稿）</w:t>
      </w:r>
    </w:p>
    <w:p w14:paraId="3DD7542E">
      <w:pPr>
        <w:pStyle w:val="12"/>
        <w:rPr>
          <w:rFonts w:ascii="Times New Roman" w:eastAsia="黑体"/>
          <w:sz w:val="32"/>
          <w:szCs w:val="32"/>
        </w:rPr>
      </w:pPr>
    </w:p>
    <w:p w14:paraId="32B2646C">
      <w:pPr>
        <w:pStyle w:val="12"/>
        <w:rPr>
          <w:rFonts w:ascii="Times New Roman" w:eastAsia="黑体"/>
          <w:sz w:val="32"/>
          <w:szCs w:val="32"/>
        </w:rPr>
      </w:pPr>
    </w:p>
    <w:p w14:paraId="765112C4">
      <w:pPr>
        <w:pStyle w:val="12"/>
        <w:rPr>
          <w:rFonts w:ascii="Times New Roman" w:eastAsia="黑体"/>
          <w:sz w:val="32"/>
          <w:szCs w:val="32"/>
        </w:rPr>
      </w:pPr>
    </w:p>
    <w:p w14:paraId="5E6A1ED2">
      <w:pPr>
        <w:pStyle w:val="12"/>
        <w:spacing w:before="0" w:line="360" w:lineRule="auto"/>
        <w:ind w:firstLine="640"/>
        <w:rPr>
          <w:rFonts w:ascii="Times New Roman" w:eastAsia="黑体"/>
          <w:sz w:val="32"/>
          <w:szCs w:val="32"/>
        </w:rPr>
      </w:pPr>
    </w:p>
    <w:p w14:paraId="794B5202">
      <w:pPr>
        <w:pStyle w:val="12"/>
        <w:spacing w:before="0" w:line="360" w:lineRule="auto"/>
        <w:ind w:firstLine="640"/>
        <w:rPr>
          <w:rFonts w:ascii="Times New Roman" w:eastAsia="黑体"/>
          <w:sz w:val="32"/>
          <w:szCs w:val="32"/>
        </w:rPr>
      </w:pPr>
    </w:p>
    <w:p w14:paraId="36C11A20">
      <w:pPr>
        <w:pStyle w:val="12"/>
        <w:spacing w:before="0" w:line="360" w:lineRule="auto"/>
        <w:ind w:firstLine="640"/>
        <w:rPr>
          <w:rFonts w:ascii="Times New Roman" w:eastAsia="黑体"/>
          <w:sz w:val="32"/>
          <w:szCs w:val="32"/>
        </w:rPr>
      </w:pPr>
    </w:p>
    <w:p w14:paraId="0AB319B2">
      <w:pPr>
        <w:pStyle w:val="12"/>
        <w:spacing w:before="0" w:line="360" w:lineRule="auto"/>
        <w:ind w:firstLine="640"/>
        <w:rPr>
          <w:rFonts w:ascii="Times New Roman" w:eastAsia="黑体"/>
          <w:sz w:val="32"/>
          <w:szCs w:val="32"/>
        </w:rPr>
      </w:pPr>
    </w:p>
    <w:p w14:paraId="76F98882">
      <w:pPr>
        <w:pStyle w:val="12"/>
        <w:spacing w:before="0" w:line="360" w:lineRule="auto"/>
        <w:ind w:firstLine="640"/>
        <w:rPr>
          <w:rFonts w:ascii="Times New Roman" w:eastAsia="黑体"/>
          <w:sz w:val="32"/>
          <w:szCs w:val="32"/>
        </w:rPr>
      </w:pPr>
    </w:p>
    <w:p w14:paraId="4D8EB78A">
      <w:pPr>
        <w:pStyle w:val="12"/>
        <w:spacing w:before="0" w:line="360" w:lineRule="auto"/>
        <w:ind w:firstLine="640"/>
        <w:rPr>
          <w:rFonts w:ascii="Times New Roman" w:eastAsia="黑体"/>
          <w:sz w:val="32"/>
          <w:szCs w:val="32"/>
        </w:rPr>
      </w:pPr>
    </w:p>
    <w:p w14:paraId="0B854119">
      <w:pPr>
        <w:pStyle w:val="12"/>
        <w:spacing w:before="0" w:line="240" w:lineRule="auto"/>
        <w:rPr>
          <w:rFonts w:hint="eastAsia" w:ascii="Times New Roman" w:eastAsia="黑体"/>
          <w:bCs/>
          <w:sz w:val="28"/>
          <w:szCs w:val="28"/>
          <w:lang w:val="en-US" w:eastAsia="zh-CN"/>
        </w:rPr>
      </w:pPr>
      <w:r>
        <w:rPr>
          <w:rFonts w:hint="eastAsia" w:ascii="Times New Roman" w:eastAsia="黑体"/>
          <w:bCs/>
          <w:sz w:val="28"/>
          <w:szCs w:val="28"/>
          <w:lang w:val="en-US" w:eastAsia="zh-CN"/>
        </w:rPr>
        <w:t>山东省计量科学研究院</w:t>
      </w:r>
    </w:p>
    <w:p w14:paraId="2B4D640B">
      <w:pPr>
        <w:pStyle w:val="12"/>
        <w:spacing w:before="0" w:line="240" w:lineRule="auto"/>
        <w:rPr>
          <w:rFonts w:hint="eastAsia" w:ascii="Times New Roman" w:eastAsia="黑体"/>
          <w:sz w:val="28"/>
          <w:szCs w:val="28"/>
        </w:rPr>
      </w:pPr>
      <w:r>
        <w:rPr>
          <w:rFonts w:ascii="Times New Roman" w:eastAsia="黑体"/>
          <w:sz w:val="28"/>
          <w:szCs w:val="28"/>
        </w:rPr>
        <w:t xml:space="preserve">  </w:t>
      </w:r>
      <w:r>
        <w:rPr>
          <w:rFonts w:hint="eastAsia" w:ascii="Times New Roman" w:eastAsia="黑体"/>
          <w:sz w:val="28"/>
          <w:szCs w:val="28"/>
          <w:lang w:val="en-US" w:eastAsia="zh-CN"/>
        </w:rPr>
        <w:t>2026</w:t>
      </w:r>
      <w:r>
        <w:rPr>
          <w:rFonts w:ascii="Times New Roman" w:eastAsia="黑体"/>
          <w:sz w:val="28"/>
          <w:szCs w:val="28"/>
        </w:rPr>
        <w:t>年</w:t>
      </w:r>
      <w:r>
        <w:rPr>
          <w:rFonts w:hint="eastAsia" w:ascii="Times New Roman" w:eastAsia="黑体"/>
          <w:sz w:val="28"/>
          <w:szCs w:val="28"/>
          <w:lang w:val="en-US" w:eastAsia="zh-CN"/>
        </w:rPr>
        <w:t>2</w:t>
      </w:r>
      <w:r>
        <w:rPr>
          <w:rFonts w:ascii="Times New Roman" w:eastAsia="黑体"/>
          <w:sz w:val="28"/>
          <w:szCs w:val="28"/>
        </w:rPr>
        <w:t>月</w:t>
      </w:r>
    </w:p>
    <w:p w14:paraId="3FE96498">
      <w:pPr>
        <w:pStyle w:val="2"/>
        <w:numPr>
          <w:ilvl w:val="0"/>
          <w:numId w:val="1"/>
        </w:numPr>
        <w:spacing w:before="0" w:after="0" w:line="440" w:lineRule="exact"/>
        <w:rPr>
          <w:rFonts w:eastAsia="黑体"/>
          <w:b w:val="0"/>
          <w:bCs w:val="0"/>
          <w:sz w:val="28"/>
          <w:szCs w:val="28"/>
        </w:rPr>
        <w:sectPr>
          <w:footerReference r:id="rId3" w:type="default"/>
          <w:pgSz w:w="11906" w:h="16838"/>
          <w:pgMar w:top="1418" w:right="1418" w:bottom="1418" w:left="1418" w:header="851" w:footer="992" w:gutter="0"/>
          <w:pgNumType w:start="1"/>
          <w:cols w:space="720" w:num="1"/>
          <w:titlePg/>
          <w:docGrid w:type="lines" w:linePitch="500" w:charSpace="0"/>
        </w:sectPr>
      </w:pPr>
      <w:bookmarkStart w:id="0" w:name="_Toc75299184"/>
      <w:bookmarkStart w:id="1" w:name="_Toc519327148"/>
    </w:p>
    <w:p w14:paraId="0A1A14AC">
      <w:pPr>
        <w:pStyle w:val="2"/>
        <w:numPr>
          <w:ilvl w:val="0"/>
          <w:numId w:val="1"/>
        </w:numPr>
        <w:spacing w:before="0" w:after="0" w:line="440" w:lineRule="exact"/>
        <w:rPr>
          <w:rFonts w:eastAsia="黑体"/>
          <w:b w:val="0"/>
          <w:bCs w:val="0"/>
          <w:sz w:val="28"/>
          <w:szCs w:val="28"/>
        </w:rPr>
        <w:sectPr>
          <w:type w:val="continuous"/>
          <w:pgSz w:w="11906" w:h="16838"/>
          <w:pgMar w:top="1418" w:right="1418" w:bottom="1418" w:left="1418" w:header="851" w:footer="992" w:gutter="0"/>
          <w:cols w:space="720" w:num="1"/>
          <w:docGrid w:type="lines" w:linePitch="500" w:charSpace="0"/>
        </w:sectPr>
      </w:pPr>
    </w:p>
    <w:p w14:paraId="2D79117A">
      <w:pPr>
        <w:pStyle w:val="12"/>
        <w:keepNext w:val="0"/>
        <w:keepLines w:val="0"/>
        <w:pageBreakBefore w:val="0"/>
        <w:widowControl/>
        <w:kinsoku/>
        <w:wordWrap/>
        <w:overflowPunct/>
        <w:topLinePunct w:val="0"/>
        <w:autoSpaceDE/>
        <w:autoSpaceDN/>
        <w:bidi w:val="0"/>
        <w:adjustRightInd/>
        <w:snapToGrid/>
        <w:spacing w:before="313" w:beforeLines="100" w:after="313" w:afterLines="100"/>
        <w:textAlignment w:val="auto"/>
        <w:rPr>
          <w:rFonts w:hint="eastAsia" w:eastAsia="黑体"/>
          <w:sz w:val="28"/>
          <w:szCs w:val="28"/>
          <w:lang w:val="en-US" w:eastAsia="zh-CN"/>
        </w:rPr>
      </w:pPr>
      <w:r>
        <w:rPr>
          <w:rFonts w:hint="eastAsia" w:ascii="Times New Roman" w:eastAsia="黑体"/>
          <w:kern w:val="2"/>
          <w:sz w:val="40"/>
          <w:szCs w:val="40"/>
        </w:rPr>
        <w:t>《动态比表面积分析仪（气相色谱法）校准规范</w:t>
      </w:r>
      <w:r>
        <w:rPr>
          <w:rFonts w:ascii="Times New Roman" w:eastAsia="黑体"/>
          <w:kern w:val="2"/>
          <w:sz w:val="40"/>
          <w:szCs w:val="40"/>
        </w:rPr>
        <w:t>》</w:t>
      </w:r>
    </w:p>
    <w:p w14:paraId="071F4E38">
      <w:pPr>
        <w:numPr>
          <w:ilvl w:val="0"/>
          <w:numId w:val="0"/>
        </w:numPr>
        <w:spacing w:line="360" w:lineRule="auto"/>
        <w:ind w:leftChars="0"/>
        <w:rPr>
          <w:rFonts w:hint="eastAsia" w:eastAsia="黑体"/>
          <w:sz w:val="28"/>
          <w:szCs w:val="28"/>
        </w:rPr>
      </w:pPr>
      <w:r>
        <w:rPr>
          <w:rFonts w:hint="eastAsia" w:eastAsia="黑体"/>
          <w:sz w:val="28"/>
          <w:szCs w:val="28"/>
          <w:lang w:val="en-US" w:eastAsia="zh-CN"/>
        </w:rPr>
        <w:t xml:space="preserve">1  </w:t>
      </w:r>
      <w:r>
        <w:rPr>
          <w:rFonts w:hint="eastAsia" w:eastAsia="黑体"/>
          <w:sz w:val="28"/>
          <w:szCs w:val="28"/>
        </w:rPr>
        <w:t>工作简况</w:t>
      </w:r>
      <w:bookmarkEnd w:id="0"/>
    </w:p>
    <w:p w14:paraId="66A3303E">
      <w:pPr>
        <w:widowControl/>
        <w:spacing w:line="440" w:lineRule="exact"/>
        <w:rPr>
          <w:rFonts w:hint="eastAsia" w:eastAsia="黑体"/>
          <w:kern w:val="0"/>
          <w:sz w:val="28"/>
          <w:szCs w:val="28"/>
          <w:lang w:val="en-US" w:eastAsia="zh-CN"/>
        </w:rPr>
      </w:pPr>
      <w:bookmarkStart w:id="2" w:name="_Toc75299185"/>
      <w:r>
        <w:rPr>
          <w:rFonts w:hint="eastAsia" w:eastAsia="黑体"/>
          <w:kern w:val="0"/>
          <w:sz w:val="28"/>
          <w:szCs w:val="28"/>
          <w:lang w:val="en-US" w:eastAsia="zh-CN"/>
        </w:rPr>
        <w:t>1.1  任务来源</w:t>
      </w:r>
      <w:bookmarkEnd w:id="1"/>
      <w:bookmarkEnd w:id="2"/>
    </w:p>
    <w:p w14:paraId="15AD48D9">
      <w:pPr>
        <w:adjustRightInd w:val="0"/>
        <w:snapToGrid w:val="0"/>
        <w:spacing w:line="360" w:lineRule="auto"/>
        <w:ind w:firstLine="480" w:firstLineChars="200"/>
        <w:rPr>
          <w:rFonts w:hint="default" w:ascii="Times New Roman" w:hAnsi="Times New Roman" w:eastAsia="宋体" w:cs="Times New Roman"/>
          <w:sz w:val="24"/>
          <w:lang w:val="en-US" w:eastAsia="zh-CN"/>
        </w:rPr>
      </w:pPr>
      <w:bookmarkStart w:id="3" w:name="_Toc75299186"/>
      <w:r>
        <w:rPr>
          <w:rFonts w:hint="default" w:ascii="Times New Roman" w:hAnsi="Times New Roman" w:eastAsia="宋体" w:cs="Times New Roman"/>
          <w:sz w:val="24"/>
          <w:lang w:val="en-US" w:eastAsia="zh-CN"/>
        </w:rPr>
        <w:t>根据</w:t>
      </w:r>
      <w:r>
        <w:rPr>
          <w:rFonts w:hint="default" w:ascii="Times New Roman" w:hAnsi="Times New Roman" w:eastAsia="宋体" w:cs="Times New Roman"/>
          <w:sz w:val="24"/>
        </w:rPr>
        <w:t>市场监管总局办公厅下达《20</w:t>
      </w:r>
      <w:r>
        <w:rPr>
          <w:rFonts w:hint="default" w:ascii="Times New Roman" w:hAnsi="Times New Roman" w:eastAsia="宋体" w:cs="Times New Roman"/>
          <w:sz w:val="24"/>
          <w:lang w:val="en-US" w:eastAsia="zh-CN"/>
        </w:rPr>
        <w:t>24</w:t>
      </w:r>
      <w:r>
        <w:rPr>
          <w:rFonts w:hint="default" w:ascii="Times New Roman" w:hAnsi="Times New Roman" w:eastAsia="宋体" w:cs="Times New Roman"/>
          <w:sz w:val="24"/>
        </w:rPr>
        <w:t>年国家计量技术规范制定、修订及宣贯计划的通知》</w:t>
      </w:r>
      <w:r>
        <w:rPr>
          <w:rFonts w:hint="default" w:ascii="Times New Roman" w:hAnsi="Times New Roman" w:eastAsia="宋体" w:cs="Times New Roman"/>
          <w:sz w:val="24"/>
          <w:lang w:eastAsia="zh-CN"/>
        </w:rPr>
        <w:t>（市监计量发〔2024〕40号），</w:t>
      </w:r>
      <w:r>
        <w:rPr>
          <w:rFonts w:hint="default" w:ascii="Times New Roman" w:hAnsi="Times New Roman" w:eastAsia="宋体" w:cs="Times New Roman"/>
          <w:sz w:val="24"/>
          <w:lang w:val="en-US" w:eastAsia="zh-CN"/>
        </w:rPr>
        <w:t>经协调由山东省计量科学研究院、中国计量科学研究院、中石化石油化工科学研究院有限公司、中国石油化工股份有限公司胜利油田分公司等单位共同承担“比表面积分析仪（氮吸附法）校准规范”项目的制定。</w:t>
      </w:r>
    </w:p>
    <w:p w14:paraId="07611E44">
      <w:pPr>
        <w:adjustRightInd w:val="0"/>
        <w:snapToGrid w:val="0"/>
        <w:spacing w:line="360" w:lineRule="auto"/>
        <w:ind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sz w:val="24"/>
          <w:lang w:val="en-US" w:eastAsia="zh-CN"/>
        </w:rPr>
        <w:t>比表面积测定仪在</w:t>
      </w:r>
      <w:r>
        <w:rPr>
          <w:rFonts w:hint="default" w:ascii="Times New Roman" w:hAnsi="Times New Roman" w:eastAsia="宋体" w:cs="Times New Roman"/>
          <w:sz w:val="24"/>
          <w:highlight w:val="none"/>
          <w:lang w:val="en-US" w:eastAsia="zh-CN"/>
        </w:rPr>
        <w:t>化工新材料</w:t>
      </w:r>
      <w:r>
        <w:rPr>
          <w:rFonts w:hint="default" w:ascii="Times New Roman" w:hAnsi="Times New Roman" w:eastAsia="宋体" w:cs="Times New Roman"/>
          <w:sz w:val="24"/>
          <w:lang w:val="en-US" w:eastAsia="zh-CN"/>
        </w:rPr>
        <w:t>行业中应用广泛，原理方法较多，应用场景各异，国家目前发布有JJF 2135-2024《物理吸附仪校准规范》，该规范内容全面，包含氮吸附法比表面积分析仪。而</w:t>
      </w:r>
      <w:r>
        <w:rPr>
          <w:rFonts w:hint="default" w:ascii="Times New Roman" w:hAnsi="Times New Roman" w:eastAsia="宋体" w:cs="Times New Roman"/>
          <w:color w:val="000000"/>
          <w:kern w:val="0"/>
          <w:sz w:val="24"/>
          <w:lang w:val="en-US" w:eastAsia="zh-CN"/>
        </w:rPr>
        <w:t>动态比表面积分析仪（气相色谱法）广泛应用于</w:t>
      </w:r>
      <w:r>
        <w:rPr>
          <w:rFonts w:hint="default" w:ascii="Times New Roman" w:hAnsi="Times New Roman" w:eastAsia="宋体" w:cs="Times New Roman"/>
          <w:color w:val="000000"/>
          <w:kern w:val="0"/>
          <w:sz w:val="24"/>
          <w:highlight w:val="none"/>
          <w:lang w:val="en-US" w:eastAsia="zh-CN"/>
        </w:rPr>
        <w:t>电池材料等</w:t>
      </w:r>
      <w:r>
        <w:rPr>
          <w:rFonts w:hint="default" w:ascii="Times New Roman" w:hAnsi="Times New Roman" w:eastAsia="宋体" w:cs="Times New Roman"/>
          <w:color w:val="000000"/>
          <w:kern w:val="0"/>
          <w:sz w:val="24"/>
          <w:lang w:val="en-US" w:eastAsia="zh-CN"/>
        </w:rPr>
        <w:t>工业生产线上产品的比表面积快速测定，在关键计量参数和</w:t>
      </w:r>
      <w:r>
        <w:rPr>
          <w:rFonts w:hint="default" w:ascii="Times New Roman" w:hAnsi="Times New Roman" w:eastAsia="宋体" w:cs="Times New Roman"/>
          <w:sz w:val="24"/>
          <w:lang w:val="en-US" w:eastAsia="zh-CN"/>
        </w:rPr>
        <w:t>校准方法等内容同常规比表面积测定仪</w:t>
      </w:r>
      <w:r>
        <w:rPr>
          <w:rFonts w:hint="default" w:ascii="Times New Roman" w:hAnsi="Times New Roman" w:eastAsia="宋体" w:cs="Times New Roman"/>
          <w:sz w:val="24"/>
          <w:highlight w:val="none"/>
          <w:lang w:val="en-US" w:eastAsia="zh-CN"/>
        </w:rPr>
        <w:t>区别较大。因此，起草组以</w:t>
      </w:r>
      <w:r>
        <w:rPr>
          <w:rFonts w:hint="default" w:ascii="Times New Roman" w:hAnsi="Times New Roman" w:eastAsia="宋体" w:cs="Times New Roman"/>
          <w:sz w:val="24"/>
          <w:lang w:val="en-US" w:eastAsia="zh-CN"/>
        </w:rPr>
        <w:t>JJF 2135为基础，针对</w:t>
      </w:r>
      <w:r>
        <w:rPr>
          <w:rFonts w:hint="default" w:ascii="Times New Roman" w:hAnsi="Times New Roman" w:eastAsia="宋体" w:cs="Times New Roman"/>
          <w:color w:val="000000"/>
          <w:kern w:val="0"/>
          <w:sz w:val="24"/>
          <w:lang w:val="en-US" w:eastAsia="zh-CN"/>
        </w:rPr>
        <w:t>动态比表面积分析仪（气相色谱法）</w:t>
      </w:r>
      <w:r>
        <w:rPr>
          <w:rFonts w:hint="default" w:ascii="Times New Roman" w:hAnsi="Times New Roman" w:eastAsia="宋体" w:cs="Times New Roman"/>
          <w:sz w:val="24"/>
          <w:lang w:val="en-US" w:eastAsia="zh-CN"/>
        </w:rPr>
        <w:t>制定了本校准规范。在规范制定过程中，结合</w:t>
      </w:r>
      <w:r>
        <w:rPr>
          <w:rFonts w:hint="default" w:ascii="Times New Roman" w:hAnsi="Times New Roman" w:eastAsia="宋体" w:cs="Times New Roman"/>
          <w:color w:val="000000"/>
          <w:kern w:val="0"/>
          <w:sz w:val="24"/>
          <w:highlight w:val="none"/>
        </w:rPr>
        <w:t>GB/T 19587－2017</w:t>
      </w:r>
      <w:r>
        <w:rPr>
          <w:rFonts w:hint="default" w:ascii="Times New Roman" w:hAnsi="Times New Roman" w:eastAsia="宋体" w:cs="Times New Roman"/>
          <w:color w:val="000000"/>
          <w:kern w:val="0"/>
          <w:sz w:val="24"/>
          <w:highlight w:val="none"/>
          <w:lang w:val="en-US" w:eastAsia="zh-CN"/>
        </w:rPr>
        <w:t>《</w:t>
      </w:r>
      <w:r>
        <w:rPr>
          <w:rFonts w:hint="default" w:ascii="Times New Roman" w:hAnsi="Times New Roman" w:eastAsia="宋体" w:cs="Times New Roman"/>
          <w:color w:val="000000"/>
          <w:kern w:val="0"/>
          <w:sz w:val="24"/>
          <w:highlight w:val="none"/>
          <w:lang w:eastAsia="zh-CN"/>
        </w:rPr>
        <w:t>气体吸附BET法测定固态物质比表面积</w:t>
      </w:r>
      <w:r>
        <w:rPr>
          <w:rFonts w:hint="default" w:ascii="Times New Roman" w:hAnsi="Times New Roman" w:eastAsia="宋体" w:cs="Times New Roman"/>
          <w:color w:val="000000"/>
          <w:kern w:val="0"/>
          <w:sz w:val="24"/>
          <w:highlight w:val="none"/>
          <w:lang w:val="en-US" w:eastAsia="zh-CN"/>
        </w:rPr>
        <w:t>》等</w:t>
      </w:r>
      <w:r>
        <w:rPr>
          <w:rFonts w:hint="default" w:ascii="Times New Roman" w:hAnsi="Times New Roman" w:eastAsia="宋体" w:cs="Times New Roman"/>
          <w:sz w:val="24"/>
          <w:lang w:val="en-US" w:eastAsia="zh-CN"/>
        </w:rPr>
        <w:t>国家标准、市场仪器名称等信息，为使规范名称更加准确、更符合实际情况，后续向委员会申请变更校准规范名称为“动态比表面积分析仪（气相色谱法）校准规范”。</w:t>
      </w:r>
    </w:p>
    <w:p w14:paraId="130669A8">
      <w:pPr>
        <w:widowControl/>
        <w:spacing w:line="440" w:lineRule="exact"/>
        <w:rPr>
          <w:rFonts w:hint="eastAsia" w:eastAsia="黑体"/>
          <w:kern w:val="0"/>
          <w:sz w:val="28"/>
          <w:szCs w:val="28"/>
          <w:lang w:val="en-US" w:eastAsia="zh-CN"/>
        </w:rPr>
      </w:pPr>
      <w:r>
        <w:rPr>
          <w:rFonts w:hint="eastAsia" w:eastAsia="黑体"/>
          <w:kern w:val="0"/>
          <w:sz w:val="28"/>
          <w:szCs w:val="28"/>
          <w:lang w:val="en-US" w:eastAsia="zh-CN"/>
        </w:rPr>
        <w:t>1.2</w:t>
      </w:r>
      <w:bookmarkEnd w:id="3"/>
      <w:r>
        <w:rPr>
          <w:rFonts w:hint="eastAsia" w:eastAsia="黑体"/>
          <w:kern w:val="0"/>
          <w:sz w:val="28"/>
          <w:szCs w:val="28"/>
          <w:lang w:val="en-US" w:eastAsia="zh-CN"/>
        </w:rPr>
        <w:t xml:space="preserve">  编写依据</w:t>
      </w:r>
    </w:p>
    <w:p w14:paraId="1394F96F">
      <w:pPr>
        <w:spacing w:line="360" w:lineRule="auto"/>
        <w:ind w:firstLine="480" w:firstLineChars="200"/>
        <w:rPr>
          <w:rFonts w:hint="default" w:ascii="Times New Roman" w:hAnsi="Times New Roman" w:eastAsia="宋体" w:cs="Times New Roman"/>
          <w:sz w:val="24"/>
          <w:szCs w:val="32"/>
        </w:rPr>
      </w:pPr>
      <w:r>
        <w:rPr>
          <w:rFonts w:hint="default" w:ascii="Times New Roman" w:hAnsi="Times New Roman" w:eastAsia="宋体" w:cs="Times New Roman"/>
          <w:sz w:val="24"/>
          <w:szCs w:val="32"/>
          <w:lang w:eastAsia="zh-CN"/>
        </w:rPr>
        <w:t>（</w:t>
      </w:r>
      <w:r>
        <w:rPr>
          <w:rFonts w:hint="default" w:ascii="Times New Roman" w:hAnsi="Times New Roman" w:eastAsia="宋体" w:cs="Times New Roman"/>
          <w:sz w:val="24"/>
          <w:szCs w:val="32"/>
          <w:lang w:val="en-US" w:eastAsia="zh-CN"/>
        </w:rPr>
        <w:t>1</w:t>
      </w:r>
      <w:r>
        <w:rPr>
          <w:rFonts w:hint="default" w:ascii="Times New Roman" w:hAnsi="Times New Roman" w:eastAsia="宋体" w:cs="Times New Roman"/>
          <w:sz w:val="24"/>
          <w:szCs w:val="32"/>
          <w:lang w:eastAsia="zh-CN"/>
        </w:rPr>
        <w:t>）规范满足</w:t>
      </w:r>
      <w:r>
        <w:rPr>
          <w:rFonts w:hint="default" w:ascii="Times New Roman" w:hAnsi="Times New Roman" w:eastAsia="宋体" w:cs="Times New Roman"/>
          <w:sz w:val="24"/>
          <w:szCs w:val="32"/>
        </w:rPr>
        <w:t>《国家计量技术规范管理办法》的要求；</w:t>
      </w:r>
    </w:p>
    <w:p w14:paraId="4B63E988">
      <w:pPr>
        <w:spacing w:line="360" w:lineRule="auto"/>
        <w:ind w:firstLine="480" w:firstLineChars="200"/>
        <w:rPr>
          <w:rFonts w:hint="default" w:ascii="Times New Roman" w:hAnsi="Times New Roman" w:eastAsia="宋体" w:cs="Times New Roman"/>
          <w:sz w:val="24"/>
          <w:szCs w:val="32"/>
        </w:rPr>
      </w:pPr>
      <w:r>
        <w:rPr>
          <w:rFonts w:hint="default" w:ascii="Times New Roman" w:hAnsi="Times New Roman" w:eastAsia="宋体" w:cs="Times New Roman"/>
          <w:sz w:val="24"/>
          <w:szCs w:val="32"/>
          <w:lang w:eastAsia="zh-CN"/>
        </w:rPr>
        <w:t>（</w:t>
      </w:r>
      <w:r>
        <w:rPr>
          <w:rFonts w:hint="default" w:ascii="Times New Roman" w:hAnsi="Times New Roman" w:eastAsia="宋体" w:cs="Times New Roman"/>
          <w:sz w:val="24"/>
          <w:szCs w:val="32"/>
          <w:lang w:val="en-US" w:eastAsia="zh-CN"/>
        </w:rPr>
        <w:t>2</w:t>
      </w:r>
      <w:r>
        <w:rPr>
          <w:rFonts w:hint="default" w:ascii="Times New Roman" w:hAnsi="Times New Roman" w:eastAsia="宋体" w:cs="Times New Roman"/>
          <w:sz w:val="24"/>
          <w:szCs w:val="32"/>
          <w:lang w:eastAsia="zh-CN"/>
        </w:rPr>
        <w:t>）</w:t>
      </w:r>
      <w:r>
        <w:rPr>
          <w:rFonts w:hint="default" w:ascii="Times New Roman" w:hAnsi="Times New Roman" w:eastAsia="宋体" w:cs="Times New Roman"/>
          <w:sz w:val="24"/>
          <w:szCs w:val="32"/>
        </w:rPr>
        <w:t>规范的编写内容、结构、格式符合JJF 1071《国家计量校准规范编写规则》的统一规定和要求；</w:t>
      </w:r>
    </w:p>
    <w:p w14:paraId="71ECBF16">
      <w:pPr>
        <w:spacing w:line="360" w:lineRule="auto"/>
        <w:ind w:firstLine="480" w:firstLineChars="200"/>
        <w:rPr>
          <w:rFonts w:hint="default" w:ascii="Times New Roman" w:hAnsi="Times New Roman" w:eastAsia="宋体" w:cs="Times New Roman"/>
          <w:sz w:val="24"/>
          <w:szCs w:val="32"/>
        </w:rPr>
      </w:pPr>
      <w:r>
        <w:rPr>
          <w:rFonts w:hint="default" w:ascii="Times New Roman" w:hAnsi="Times New Roman" w:eastAsia="宋体" w:cs="Times New Roman"/>
          <w:sz w:val="24"/>
          <w:szCs w:val="32"/>
          <w:lang w:eastAsia="zh-CN"/>
        </w:rPr>
        <w:t>（</w:t>
      </w:r>
      <w:r>
        <w:rPr>
          <w:rFonts w:hint="default" w:ascii="Times New Roman" w:hAnsi="Times New Roman" w:eastAsia="宋体" w:cs="Times New Roman"/>
          <w:sz w:val="24"/>
          <w:szCs w:val="32"/>
          <w:lang w:val="en-US" w:eastAsia="zh-CN"/>
        </w:rPr>
        <w:t>3</w:t>
      </w:r>
      <w:r>
        <w:rPr>
          <w:rFonts w:hint="default" w:ascii="Times New Roman" w:hAnsi="Times New Roman" w:eastAsia="宋体" w:cs="Times New Roman"/>
          <w:sz w:val="24"/>
          <w:szCs w:val="32"/>
          <w:lang w:eastAsia="zh-CN"/>
        </w:rPr>
        <w:t>）</w:t>
      </w:r>
      <w:r>
        <w:rPr>
          <w:rFonts w:hint="default" w:ascii="Times New Roman" w:hAnsi="Times New Roman" w:eastAsia="宋体" w:cs="Times New Roman"/>
          <w:sz w:val="24"/>
          <w:szCs w:val="32"/>
          <w:lang w:val="en-US" w:eastAsia="zh-CN"/>
        </w:rPr>
        <w:t>规范中</w:t>
      </w:r>
      <w:r>
        <w:rPr>
          <w:rFonts w:hint="default" w:ascii="Times New Roman" w:hAnsi="Times New Roman" w:eastAsia="宋体" w:cs="Times New Roman"/>
          <w:sz w:val="24"/>
          <w:szCs w:val="32"/>
        </w:rPr>
        <w:t>的通用计量术语</w:t>
      </w:r>
      <w:r>
        <w:rPr>
          <w:rFonts w:hint="default" w:ascii="Times New Roman" w:hAnsi="Times New Roman" w:eastAsia="宋体" w:cs="Times New Roman"/>
          <w:sz w:val="24"/>
          <w:szCs w:val="32"/>
          <w:lang w:val="en-US" w:eastAsia="zh-CN"/>
        </w:rPr>
        <w:t>符合</w:t>
      </w:r>
      <w:r>
        <w:rPr>
          <w:rFonts w:hint="default" w:ascii="Times New Roman" w:hAnsi="Times New Roman" w:eastAsia="宋体" w:cs="Times New Roman"/>
          <w:sz w:val="24"/>
          <w:szCs w:val="32"/>
        </w:rPr>
        <w:t>JJF 1001《通用计量术语及定义》</w:t>
      </w:r>
      <w:r>
        <w:rPr>
          <w:rFonts w:hint="default" w:ascii="Times New Roman" w:hAnsi="Times New Roman" w:eastAsia="宋体" w:cs="Times New Roman"/>
          <w:sz w:val="24"/>
          <w:szCs w:val="32"/>
          <w:lang w:eastAsia="zh-CN"/>
        </w:rPr>
        <w:t>，</w:t>
      </w:r>
      <w:r>
        <w:rPr>
          <w:rFonts w:hint="default" w:ascii="Times New Roman" w:hAnsi="Times New Roman" w:eastAsia="宋体" w:cs="Times New Roman"/>
          <w:sz w:val="24"/>
          <w:szCs w:val="32"/>
          <w:lang w:val="en-US" w:eastAsia="zh-CN"/>
        </w:rPr>
        <w:t>专业术语来源于国家标准</w:t>
      </w:r>
      <w:r>
        <w:rPr>
          <w:rFonts w:hint="default" w:ascii="Times New Roman" w:hAnsi="Times New Roman" w:eastAsia="宋体" w:cs="Times New Roman"/>
          <w:color w:val="000000"/>
          <w:kern w:val="0"/>
          <w:sz w:val="24"/>
          <w:highlight w:val="none"/>
        </w:rPr>
        <w:t>GB/T 19587－2017</w:t>
      </w:r>
      <w:r>
        <w:rPr>
          <w:rFonts w:hint="default" w:ascii="Times New Roman" w:hAnsi="Times New Roman" w:eastAsia="宋体" w:cs="Times New Roman"/>
          <w:color w:val="000000"/>
          <w:kern w:val="0"/>
          <w:sz w:val="24"/>
          <w:highlight w:val="none"/>
          <w:lang w:val="en-US" w:eastAsia="zh-CN"/>
        </w:rPr>
        <w:t>《</w:t>
      </w:r>
      <w:r>
        <w:rPr>
          <w:rFonts w:hint="default" w:ascii="Times New Roman" w:hAnsi="Times New Roman" w:eastAsia="宋体" w:cs="Times New Roman"/>
          <w:color w:val="000000"/>
          <w:kern w:val="0"/>
          <w:sz w:val="24"/>
          <w:highlight w:val="none"/>
          <w:lang w:eastAsia="zh-CN"/>
        </w:rPr>
        <w:t>气体吸附BET法测定固态物质比表面积</w:t>
      </w:r>
      <w:r>
        <w:rPr>
          <w:rFonts w:hint="default" w:ascii="Times New Roman" w:hAnsi="Times New Roman" w:eastAsia="宋体" w:cs="Times New Roman"/>
          <w:color w:val="000000"/>
          <w:kern w:val="0"/>
          <w:sz w:val="24"/>
          <w:highlight w:val="none"/>
          <w:lang w:val="en-US" w:eastAsia="zh-CN"/>
        </w:rPr>
        <w:t>》</w:t>
      </w:r>
      <w:r>
        <w:rPr>
          <w:rFonts w:hint="default" w:ascii="Times New Roman" w:hAnsi="Times New Roman" w:eastAsia="宋体" w:cs="Times New Roman"/>
          <w:sz w:val="24"/>
          <w:szCs w:val="32"/>
        </w:rPr>
        <w:t>；</w:t>
      </w:r>
    </w:p>
    <w:p w14:paraId="49FE65FC">
      <w:pPr>
        <w:spacing w:line="360" w:lineRule="auto"/>
        <w:ind w:firstLine="480" w:firstLineChars="200"/>
        <w:jc w:val="both"/>
        <w:textAlignment w:val="center"/>
        <w:rPr>
          <w:rFonts w:hint="default"/>
          <w:spacing w:val="0"/>
          <w:position w:val="0"/>
          <w:sz w:val="24"/>
          <w:lang w:val="en-US" w:eastAsia="zh-CN"/>
        </w:rPr>
      </w:pPr>
      <w:r>
        <w:rPr>
          <w:rFonts w:hint="default" w:ascii="Times New Roman" w:hAnsi="Times New Roman" w:eastAsia="宋体" w:cs="Times New Roman"/>
          <w:sz w:val="24"/>
          <w:szCs w:val="32"/>
          <w:lang w:eastAsia="zh-CN"/>
        </w:rPr>
        <w:t>（</w:t>
      </w:r>
      <w:r>
        <w:rPr>
          <w:rFonts w:hint="default" w:ascii="Times New Roman" w:hAnsi="Times New Roman" w:eastAsia="宋体" w:cs="Times New Roman"/>
          <w:sz w:val="24"/>
          <w:szCs w:val="32"/>
          <w:lang w:val="en-US" w:eastAsia="zh-CN"/>
        </w:rPr>
        <w:t>4</w:t>
      </w:r>
      <w:r>
        <w:rPr>
          <w:rFonts w:hint="default" w:ascii="Times New Roman" w:hAnsi="Times New Roman" w:eastAsia="宋体" w:cs="Times New Roman"/>
          <w:sz w:val="24"/>
          <w:szCs w:val="32"/>
          <w:lang w:eastAsia="zh-CN"/>
        </w:rPr>
        <w:t>）</w:t>
      </w:r>
      <w:r>
        <w:rPr>
          <w:rFonts w:hint="default" w:ascii="Times New Roman" w:hAnsi="Times New Roman" w:eastAsia="宋体" w:cs="Times New Roman"/>
          <w:sz w:val="24"/>
          <w:szCs w:val="32"/>
          <w:lang w:val="en-US" w:eastAsia="zh-CN"/>
        </w:rPr>
        <w:t>规范中</w:t>
      </w:r>
      <w:r>
        <w:rPr>
          <w:rFonts w:hint="default" w:ascii="Times New Roman" w:hAnsi="Times New Roman" w:eastAsia="宋体" w:cs="Times New Roman"/>
          <w:sz w:val="24"/>
          <w:szCs w:val="32"/>
        </w:rPr>
        <w:t>的</w:t>
      </w:r>
      <w:r>
        <w:rPr>
          <w:rFonts w:hint="eastAsia" w:ascii="Times New Roman" w:hAnsi="Times New Roman" w:eastAsia="宋体" w:cs="Times New Roman"/>
          <w:sz w:val="24"/>
          <w:szCs w:val="32"/>
          <w:lang w:val="en-US" w:eastAsia="zh-CN"/>
        </w:rPr>
        <w:t>计量特性依据标准物质不确定度、实验数据等得到，</w:t>
      </w:r>
      <w:r>
        <w:rPr>
          <w:rFonts w:hint="eastAsia"/>
          <w:spacing w:val="0"/>
          <w:position w:val="0"/>
          <w:sz w:val="24"/>
          <w:lang w:val="en-US" w:eastAsia="zh-CN"/>
        </w:rPr>
        <w:t>规定示值最大允许误差为±15%，测量不确定度同示值误差的关系如下：</w:t>
      </w:r>
      <w:r>
        <w:rPr>
          <w:rFonts w:hint="eastAsia"/>
          <w:spacing w:val="0"/>
          <w:position w:val="0"/>
          <w:sz w:val="24"/>
          <w:lang w:val="en-US" w:eastAsia="zh-CN"/>
        </w:rPr>
        <w:object>
          <v:shape id="_x0000_i1025" o:spt="75" type="#_x0000_t75" style="height:31pt;width:85pt;" o:ole="t" filled="f" o:preferrelative="t" stroked="f" coordsize="21600,21600">
            <v:path/>
            <v:fill on="f" focussize="0,0"/>
            <v:stroke on="f"/>
            <v:imagedata r:id="rId6" o:title=""/>
            <o:lock v:ext="edit" aspectratio="t"/>
            <w10:wrap type="none"/>
            <w10:anchorlock/>
          </v:shape>
          <o:OLEObject Type="Embed" ProgID="Equation.KSEE3" ShapeID="_x0000_i1025" DrawAspect="Content" ObjectID="_1468075725" r:id="rId5">
            <o:LockedField>false</o:LockedField>
          </o:OLEObject>
        </w:object>
      </w:r>
      <w:r>
        <w:rPr>
          <w:rFonts w:hint="eastAsia"/>
          <w:spacing w:val="0"/>
          <w:position w:val="0"/>
          <w:sz w:val="24"/>
          <w:lang w:val="en-US" w:eastAsia="zh-CN"/>
        </w:rPr>
        <w:t>，因此本规范规定的标准物质对分析仪示值误差进行计量性能试验时，其试验方法是可行的。示值误差为标准物质扩展不确定度的2~3倍。重复性和通道一致性根据实验统计得到。</w:t>
      </w:r>
      <w:r>
        <w:rPr>
          <w:rFonts w:hint="default" w:ascii="Times New Roman" w:hAnsi="Times New Roman" w:eastAsia="宋体" w:cs="Times New Roman"/>
          <w:sz w:val="24"/>
          <w:szCs w:val="32"/>
        </w:rPr>
        <w:t>校准结果测量不确定度评定的依据与方法来自JJF 1059</w:t>
      </w:r>
      <w:r>
        <w:rPr>
          <w:rFonts w:hint="default" w:ascii="Times New Roman" w:hAnsi="Times New Roman" w:eastAsia="宋体" w:cs="Times New Roman"/>
          <w:sz w:val="24"/>
          <w:szCs w:val="32"/>
          <w:lang w:val="en-US" w:eastAsia="zh-CN"/>
        </w:rPr>
        <w:t>.1</w:t>
      </w:r>
      <w:r>
        <w:rPr>
          <w:rFonts w:hint="default" w:ascii="Times New Roman" w:hAnsi="Times New Roman" w:eastAsia="宋体" w:cs="Times New Roman"/>
          <w:sz w:val="24"/>
          <w:szCs w:val="32"/>
        </w:rPr>
        <w:t>《测量不确定度评定与表示》和JJF 1033《计量标准考核规范》；</w:t>
      </w:r>
    </w:p>
    <w:p w14:paraId="53743AC4">
      <w:pPr>
        <w:spacing w:line="360" w:lineRule="auto"/>
        <w:ind w:firstLine="480" w:firstLineChars="200"/>
        <w:rPr>
          <w:rFonts w:hint="default" w:ascii="Times New Roman" w:hAnsi="Times New Roman" w:eastAsia="宋体" w:cs="Times New Roman"/>
          <w:sz w:val="24"/>
          <w:szCs w:val="32"/>
        </w:rPr>
      </w:pPr>
      <w:r>
        <w:rPr>
          <w:rFonts w:hint="default" w:ascii="Times New Roman" w:hAnsi="Times New Roman" w:eastAsia="宋体" w:cs="Times New Roman"/>
          <w:sz w:val="24"/>
          <w:szCs w:val="32"/>
          <w:lang w:eastAsia="zh-CN"/>
        </w:rPr>
        <w:t>（</w:t>
      </w:r>
      <w:r>
        <w:rPr>
          <w:rFonts w:hint="default" w:ascii="Times New Roman" w:hAnsi="Times New Roman" w:eastAsia="宋体" w:cs="Times New Roman"/>
          <w:sz w:val="24"/>
          <w:szCs w:val="32"/>
          <w:lang w:val="en-US" w:eastAsia="zh-CN"/>
        </w:rPr>
        <w:t>5</w:t>
      </w:r>
      <w:r>
        <w:rPr>
          <w:rFonts w:hint="default" w:ascii="Times New Roman" w:hAnsi="Times New Roman" w:eastAsia="宋体" w:cs="Times New Roman"/>
          <w:sz w:val="24"/>
          <w:szCs w:val="32"/>
          <w:lang w:eastAsia="zh-CN"/>
        </w:rPr>
        <w:t>）</w:t>
      </w:r>
      <w:r>
        <w:rPr>
          <w:rFonts w:hint="default" w:ascii="Times New Roman" w:hAnsi="Times New Roman" w:eastAsia="宋体" w:cs="Times New Roman"/>
          <w:sz w:val="24"/>
          <w:szCs w:val="32"/>
        </w:rPr>
        <w:t>规范中的技术指标、校准项目和校准方法</w:t>
      </w:r>
      <w:r>
        <w:rPr>
          <w:rFonts w:hint="default" w:ascii="Times New Roman" w:hAnsi="Times New Roman" w:eastAsia="宋体" w:cs="Times New Roman"/>
          <w:sz w:val="24"/>
          <w:szCs w:val="32"/>
          <w:lang w:val="en-US" w:eastAsia="zh-CN"/>
        </w:rPr>
        <w:t>参考了</w:t>
      </w:r>
      <w:r>
        <w:rPr>
          <w:rFonts w:hint="default" w:ascii="Times New Roman" w:hAnsi="Times New Roman" w:eastAsia="宋体" w:cs="Times New Roman"/>
          <w:sz w:val="24"/>
          <w:szCs w:val="24"/>
        </w:rPr>
        <w:t>JJF 2135</w:t>
      </w:r>
      <w:r>
        <w:rPr>
          <w:rFonts w:hint="default" w:ascii="Times New Roman" w:hAnsi="Times New Roman" w:eastAsia="宋体" w:cs="Times New Roman"/>
          <w:bCs/>
          <w:sz w:val="24"/>
        </w:rPr>
        <w:t>－</w:t>
      </w:r>
      <w:r>
        <w:rPr>
          <w:rFonts w:hint="default" w:ascii="Times New Roman" w:hAnsi="Times New Roman" w:eastAsia="宋体" w:cs="Times New Roman"/>
          <w:sz w:val="24"/>
          <w:szCs w:val="24"/>
        </w:rPr>
        <w:t>2024</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物理吸附仪校准规范</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color w:val="000000"/>
          <w:kern w:val="0"/>
          <w:sz w:val="24"/>
          <w:szCs w:val="24"/>
        </w:rPr>
        <w:t>中的相关内容。</w:t>
      </w:r>
    </w:p>
    <w:p w14:paraId="3EA97225">
      <w:pPr>
        <w:spacing w:line="360" w:lineRule="auto"/>
        <w:ind w:firstLine="480" w:firstLineChars="200"/>
        <w:rPr>
          <w:rFonts w:hint="default" w:ascii="Times New Roman" w:hAnsi="Times New Roman" w:eastAsia="宋体" w:cs="Times New Roman"/>
          <w:sz w:val="24"/>
          <w:szCs w:val="32"/>
        </w:rPr>
      </w:pPr>
      <w:r>
        <w:rPr>
          <w:rFonts w:hint="default" w:ascii="Times New Roman" w:hAnsi="Times New Roman" w:eastAsia="宋体" w:cs="Times New Roman"/>
          <w:sz w:val="24"/>
          <w:szCs w:val="32"/>
        </w:rPr>
        <w:t>规范结合</w:t>
      </w:r>
      <w:r>
        <w:rPr>
          <w:rFonts w:hint="default" w:ascii="Times New Roman" w:hAnsi="Times New Roman" w:eastAsia="宋体" w:cs="Times New Roman"/>
          <w:sz w:val="24"/>
          <w:szCs w:val="32"/>
          <w:lang w:val="en-US" w:eastAsia="zh-CN"/>
        </w:rPr>
        <w:t>仪器生产应用</w:t>
      </w:r>
      <w:r>
        <w:rPr>
          <w:rFonts w:hint="default" w:ascii="Times New Roman" w:hAnsi="Times New Roman" w:eastAsia="宋体" w:cs="Times New Roman"/>
          <w:sz w:val="24"/>
          <w:szCs w:val="32"/>
          <w:lang w:eastAsia="zh-CN"/>
        </w:rPr>
        <w:t>及计量校准</w:t>
      </w:r>
      <w:r>
        <w:rPr>
          <w:rFonts w:hint="default" w:ascii="Times New Roman" w:hAnsi="Times New Roman" w:eastAsia="宋体" w:cs="Times New Roman"/>
          <w:sz w:val="24"/>
          <w:szCs w:val="32"/>
        </w:rPr>
        <w:t>实际，使编写的规范做到既先进科学，体现行业的技术水平，有利于技术进步，又能保证国内主要生产企业均可使用，有行业的指导作用。</w:t>
      </w:r>
    </w:p>
    <w:p w14:paraId="21982CB8">
      <w:pPr>
        <w:widowControl/>
        <w:spacing w:line="440" w:lineRule="exact"/>
        <w:rPr>
          <w:rFonts w:hint="eastAsia" w:eastAsia="黑体"/>
          <w:kern w:val="0"/>
          <w:sz w:val="28"/>
          <w:szCs w:val="28"/>
          <w:lang w:val="en-US" w:eastAsia="zh-CN"/>
        </w:rPr>
      </w:pPr>
      <w:r>
        <w:rPr>
          <w:rFonts w:hint="eastAsia" w:eastAsia="黑体"/>
          <w:kern w:val="0"/>
          <w:sz w:val="28"/>
          <w:szCs w:val="28"/>
          <w:lang w:val="en-US" w:eastAsia="zh-CN"/>
        </w:rPr>
        <w:t>1.3  起草过程</w:t>
      </w:r>
    </w:p>
    <w:p w14:paraId="1C0C082B">
      <w:pPr>
        <w:pStyle w:val="16"/>
        <w:tabs>
          <w:tab w:val="center" w:pos="4201"/>
          <w:tab w:val="right" w:leader="dot" w:pos="9298"/>
        </w:tabs>
        <w:spacing w:line="360" w:lineRule="auto"/>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rPr>
        <w:t>202</w:t>
      </w:r>
      <w:r>
        <w:rPr>
          <w:rFonts w:hint="default" w:ascii="Times New Roman" w:hAnsi="Times New Roman" w:eastAsia="宋体" w:cs="Times New Roman"/>
          <w:kern w:val="2"/>
          <w:sz w:val="24"/>
          <w:szCs w:val="24"/>
          <w:lang w:val="en-US" w:eastAsia="zh-CN"/>
        </w:rPr>
        <w:t>4</w:t>
      </w:r>
      <w:r>
        <w:rPr>
          <w:rFonts w:hint="default" w:ascii="Times New Roman" w:hAnsi="Times New Roman" w:eastAsia="宋体" w:cs="Times New Roman"/>
          <w:kern w:val="2"/>
          <w:sz w:val="24"/>
          <w:szCs w:val="24"/>
        </w:rPr>
        <w:t>年</w:t>
      </w:r>
      <w:r>
        <w:rPr>
          <w:rFonts w:hint="eastAsia" w:ascii="Times New Roman" w:cs="Times New Roman"/>
          <w:kern w:val="2"/>
          <w:sz w:val="24"/>
          <w:szCs w:val="24"/>
          <w:lang w:val="en-US" w:eastAsia="zh-CN"/>
        </w:rPr>
        <w:t>5</w:t>
      </w:r>
      <w:r>
        <w:rPr>
          <w:rFonts w:hint="default" w:ascii="Times New Roman" w:hAnsi="Times New Roman" w:eastAsia="宋体" w:cs="Times New Roman"/>
          <w:kern w:val="2"/>
          <w:sz w:val="24"/>
          <w:szCs w:val="24"/>
        </w:rPr>
        <w:t>月，</w:t>
      </w:r>
      <w:r>
        <w:rPr>
          <w:rFonts w:hint="default" w:ascii="Times New Roman" w:hAnsi="Times New Roman" w:eastAsia="宋体" w:cs="Times New Roman"/>
          <w:kern w:val="2"/>
          <w:sz w:val="24"/>
          <w:szCs w:val="24"/>
          <w:lang w:val="en-US" w:eastAsia="zh-CN"/>
        </w:rPr>
        <w:t>任务下达后根据前期计划，</w:t>
      </w:r>
      <w:r>
        <w:rPr>
          <w:rFonts w:hint="default" w:ascii="Times New Roman" w:hAnsi="Times New Roman" w:eastAsia="宋体" w:cs="Times New Roman"/>
          <w:kern w:val="2"/>
          <w:sz w:val="24"/>
          <w:szCs w:val="24"/>
        </w:rPr>
        <w:t>成立起草组，制定了</w:t>
      </w:r>
      <w:r>
        <w:rPr>
          <w:rFonts w:hint="default" w:ascii="Times New Roman" w:hAnsi="Times New Roman" w:eastAsia="宋体" w:cs="Times New Roman"/>
          <w:kern w:val="2"/>
          <w:sz w:val="24"/>
          <w:szCs w:val="24"/>
          <w:lang w:val="en-US" w:eastAsia="zh-CN"/>
        </w:rPr>
        <w:t>规范编制</w:t>
      </w:r>
      <w:r>
        <w:rPr>
          <w:rFonts w:hint="default" w:ascii="Times New Roman" w:hAnsi="Times New Roman" w:eastAsia="宋体" w:cs="Times New Roman"/>
          <w:kern w:val="2"/>
          <w:sz w:val="24"/>
          <w:szCs w:val="24"/>
        </w:rPr>
        <w:t>计划，</w:t>
      </w:r>
      <w:r>
        <w:rPr>
          <w:rFonts w:hint="default" w:ascii="Times New Roman" w:hAnsi="Times New Roman" w:eastAsia="宋体" w:cs="Times New Roman"/>
          <w:kern w:val="2"/>
          <w:sz w:val="24"/>
          <w:szCs w:val="24"/>
          <w:lang w:val="en-US" w:eastAsia="zh-CN"/>
        </w:rPr>
        <w:t>调研</w:t>
      </w:r>
      <w:r>
        <w:rPr>
          <w:rFonts w:hint="default" w:ascii="Times New Roman" w:hAnsi="Times New Roman" w:eastAsia="宋体" w:cs="Times New Roman"/>
          <w:kern w:val="2"/>
          <w:sz w:val="24"/>
          <w:szCs w:val="24"/>
        </w:rPr>
        <w:t>了国内外</w:t>
      </w:r>
      <w:r>
        <w:rPr>
          <w:rFonts w:hint="default" w:ascii="Times New Roman" w:hAnsi="Times New Roman" w:eastAsia="宋体" w:cs="Times New Roman"/>
          <w:kern w:val="2"/>
          <w:sz w:val="24"/>
          <w:szCs w:val="24"/>
          <w:lang w:val="en-US" w:eastAsia="zh-CN"/>
        </w:rPr>
        <w:t>比表面积</w:t>
      </w:r>
      <w:r>
        <w:rPr>
          <w:rFonts w:hint="default" w:ascii="Times New Roman" w:hAnsi="Times New Roman" w:eastAsia="宋体" w:cs="Times New Roman"/>
          <w:kern w:val="2"/>
          <w:sz w:val="24"/>
          <w:szCs w:val="24"/>
        </w:rPr>
        <w:t>相关的方法标准、技术规范、企业标准、产品使用手册、文献资料等。对</w:t>
      </w:r>
      <w:r>
        <w:rPr>
          <w:rFonts w:hint="default" w:ascii="Times New Roman" w:hAnsi="Times New Roman" w:eastAsia="宋体" w:cs="Times New Roman"/>
          <w:kern w:val="2"/>
          <w:sz w:val="24"/>
          <w:szCs w:val="24"/>
          <w:lang w:val="en-US" w:eastAsia="zh-CN"/>
        </w:rPr>
        <w:t>相关</w:t>
      </w:r>
      <w:r>
        <w:rPr>
          <w:rFonts w:hint="default" w:ascii="Times New Roman" w:hAnsi="Times New Roman" w:eastAsia="宋体" w:cs="Times New Roman"/>
          <w:kern w:val="2"/>
          <w:sz w:val="24"/>
          <w:szCs w:val="24"/>
        </w:rPr>
        <w:t>技术资料（包括技术指标、性能指标、试验方案、数据处理方法和操作使用说明书等）进行汇总、分类、整理，确定标准制定的大纲和要求。</w:t>
      </w:r>
    </w:p>
    <w:p w14:paraId="25F45376">
      <w:pPr>
        <w:pStyle w:val="16"/>
        <w:tabs>
          <w:tab w:val="center" w:pos="4201"/>
          <w:tab w:val="right" w:leader="dot" w:pos="9298"/>
        </w:tabs>
        <w:spacing w:line="360" w:lineRule="auto"/>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rPr>
        <w:t>202</w:t>
      </w:r>
      <w:r>
        <w:rPr>
          <w:rFonts w:hint="default" w:ascii="Times New Roman" w:hAnsi="Times New Roman" w:eastAsia="宋体" w:cs="Times New Roman"/>
          <w:kern w:val="2"/>
          <w:sz w:val="24"/>
          <w:szCs w:val="24"/>
          <w:lang w:val="en-US" w:eastAsia="zh-CN"/>
        </w:rPr>
        <w:t>4</w:t>
      </w:r>
      <w:r>
        <w:rPr>
          <w:rFonts w:hint="default" w:ascii="Times New Roman" w:hAnsi="Times New Roman" w:eastAsia="宋体" w:cs="Times New Roman"/>
          <w:kern w:val="2"/>
          <w:sz w:val="24"/>
          <w:szCs w:val="24"/>
        </w:rPr>
        <w:t>年</w:t>
      </w:r>
      <w:r>
        <w:rPr>
          <w:rFonts w:hint="default" w:ascii="Times New Roman" w:hAnsi="Times New Roman" w:eastAsia="宋体" w:cs="Times New Roman"/>
          <w:kern w:val="2"/>
          <w:sz w:val="24"/>
          <w:szCs w:val="24"/>
          <w:lang w:val="en-US" w:eastAsia="zh-CN"/>
        </w:rPr>
        <w:t>7月</w:t>
      </w:r>
      <w:r>
        <w:rPr>
          <w:rFonts w:hint="default" w:ascii="Times New Roman" w:hAnsi="Times New Roman" w:eastAsia="宋体" w:cs="Times New Roman"/>
          <w:kern w:val="2"/>
          <w:sz w:val="24"/>
          <w:szCs w:val="24"/>
        </w:rPr>
        <w:t>～</w:t>
      </w:r>
      <w:r>
        <w:rPr>
          <w:rFonts w:hint="default" w:ascii="Times New Roman" w:hAnsi="Times New Roman" w:eastAsia="宋体" w:cs="Times New Roman"/>
          <w:kern w:val="2"/>
          <w:sz w:val="24"/>
          <w:szCs w:val="24"/>
          <w:lang w:val="en-US" w:eastAsia="zh-CN"/>
        </w:rPr>
        <w:t>12</w:t>
      </w:r>
      <w:r>
        <w:rPr>
          <w:rFonts w:hint="default" w:ascii="Times New Roman" w:hAnsi="Times New Roman" w:eastAsia="宋体" w:cs="Times New Roman"/>
          <w:kern w:val="2"/>
          <w:sz w:val="24"/>
          <w:szCs w:val="24"/>
        </w:rPr>
        <w:t>月，起草工作组根据进度要求制定详细的工作计划，明确了具体分工和工作任务。通过对国内外相关技术资料的对比分析，有关专家、技术带头人、科研项目负责人进行了充分讨论和交流，确定了</w:t>
      </w:r>
      <w:r>
        <w:rPr>
          <w:rFonts w:hint="default" w:ascii="Times New Roman" w:hAnsi="Times New Roman" w:eastAsia="宋体" w:cs="Times New Roman"/>
          <w:kern w:val="2"/>
          <w:sz w:val="24"/>
          <w:szCs w:val="24"/>
          <w:lang w:val="en-US" w:eastAsia="zh-CN"/>
        </w:rPr>
        <w:t>规范</w:t>
      </w:r>
      <w:r>
        <w:rPr>
          <w:rFonts w:hint="default" w:ascii="Times New Roman" w:hAnsi="Times New Roman" w:eastAsia="宋体" w:cs="Times New Roman"/>
          <w:kern w:val="2"/>
          <w:sz w:val="24"/>
          <w:szCs w:val="24"/>
        </w:rPr>
        <w:t>制定原则与水平、仪器主要技术要求、</w:t>
      </w:r>
      <w:r>
        <w:rPr>
          <w:rFonts w:hint="default" w:ascii="Times New Roman" w:hAnsi="Times New Roman" w:eastAsia="宋体" w:cs="Times New Roman"/>
          <w:color w:val="auto"/>
          <w:kern w:val="2"/>
          <w:sz w:val="24"/>
          <w:szCs w:val="24"/>
          <w:lang w:val="en-US" w:eastAsia="zh-CN"/>
        </w:rPr>
        <w:t>实验</w:t>
      </w:r>
      <w:r>
        <w:rPr>
          <w:rFonts w:hint="default" w:ascii="Times New Roman" w:hAnsi="Times New Roman" w:eastAsia="宋体" w:cs="Times New Roman"/>
          <w:color w:val="auto"/>
          <w:kern w:val="2"/>
          <w:sz w:val="24"/>
          <w:szCs w:val="24"/>
        </w:rPr>
        <w:t>方案和检</w:t>
      </w:r>
      <w:r>
        <w:rPr>
          <w:rFonts w:hint="default" w:ascii="Times New Roman" w:hAnsi="Times New Roman" w:eastAsia="宋体" w:cs="Times New Roman"/>
          <w:kern w:val="2"/>
          <w:sz w:val="24"/>
          <w:szCs w:val="24"/>
        </w:rPr>
        <w:t>验规则等核心技术内容。</w:t>
      </w:r>
    </w:p>
    <w:p w14:paraId="586F164F">
      <w:pPr>
        <w:pStyle w:val="16"/>
        <w:tabs>
          <w:tab w:val="center" w:pos="4201"/>
          <w:tab w:val="right" w:leader="dot" w:pos="9298"/>
        </w:tabs>
        <w:spacing w:line="360" w:lineRule="auto"/>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rPr>
        <w:t>202</w:t>
      </w:r>
      <w:r>
        <w:rPr>
          <w:rFonts w:hint="default" w:ascii="Times New Roman" w:hAnsi="Times New Roman" w:eastAsia="宋体" w:cs="Times New Roman"/>
          <w:kern w:val="2"/>
          <w:sz w:val="24"/>
          <w:szCs w:val="24"/>
          <w:lang w:val="en-US" w:eastAsia="zh-CN"/>
        </w:rPr>
        <w:t>5</w:t>
      </w:r>
      <w:r>
        <w:rPr>
          <w:rFonts w:hint="default" w:ascii="Times New Roman" w:hAnsi="Times New Roman" w:eastAsia="宋体" w:cs="Times New Roman"/>
          <w:kern w:val="2"/>
          <w:sz w:val="24"/>
          <w:szCs w:val="24"/>
        </w:rPr>
        <w:t>年</w:t>
      </w:r>
      <w:r>
        <w:rPr>
          <w:rFonts w:hint="default" w:ascii="Times New Roman" w:hAnsi="Times New Roman" w:eastAsia="宋体" w:cs="Times New Roman"/>
          <w:kern w:val="2"/>
          <w:sz w:val="24"/>
          <w:szCs w:val="24"/>
          <w:lang w:val="en-US" w:eastAsia="zh-CN"/>
        </w:rPr>
        <w:t>1月</w:t>
      </w:r>
      <w:r>
        <w:rPr>
          <w:rFonts w:hint="default" w:ascii="Times New Roman" w:hAnsi="Times New Roman" w:eastAsia="宋体" w:cs="Times New Roman"/>
          <w:kern w:val="2"/>
          <w:sz w:val="24"/>
          <w:szCs w:val="24"/>
        </w:rPr>
        <w:t>～</w:t>
      </w:r>
      <w:r>
        <w:rPr>
          <w:rFonts w:hint="default" w:ascii="Times New Roman" w:hAnsi="Times New Roman" w:eastAsia="宋体" w:cs="Times New Roman"/>
          <w:kern w:val="2"/>
          <w:sz w:val="24"/>
          <w:szCs w:val="24"/>
          <w:lang w:val="en-US" w:eastAsia="zh-CN"/>
        </w:rPr>
        <w:t>6</w:t>
      </w:r>
      <w:r>
        <w:rPr>
          <w:rFonts w:hint="default" w:ascii="Times New Roman" w:hAnsi="Times New Roman" w:eastAsia="宋体" w:cs="Times New Roman"/>
          <w:kern w:val="2"/>
          <w:sz w:val="24"/>
          <w:szCs w:val="24"/>
        </w:rPr>
        <w:t>月，</w:t>
      </w:r>
      <w:r>
        <w:rPr>
          <w:rFonts w:hint="default" w:ascii="Times New Roman" w:hAnsi="Times New Roman" w:eastAsia="宋体" w:cs="Times New Roman"/>
          <w:kern w:val="2"/>
          <w:sz w:val="24"/>
          <w:szCs w:val="24"/>
          <w:lang w:val="en-US" w:eastAsia="zh-CN"/>
        </w:rPr>
        <w:t>开始试验验证，</w:t>
      </w:r>
      <w:r>
        <w:rPr>
          <w:rFonts w:hint="default" w:ascii="Times New Roman" w:hAnsi="Times New Roman" w:eastAsia="宋体" w:cs="Times New Roman"/>
          <w:kern w:val="2"/>
          <w:sz w:val="24"/>
          <w:szCs w:val="24"/>
        </w:rPr>
        <w:t>完成了《</w:t>
      </w:r>
      <w:r>
        <w:rPr>
          <w:rFonts w:hint="default" w:ascii="Times New Roman" w:hAnsi="Times New Roman" w:eastAsia="宋体" w:cs="Times New Roman"/>
          <w:sz w:val="24"/>
          <w:lang w:val="en-US" w:eastAsia="zh-CN"/>
        </w:rPr>
        <w:t>动态比表面积分析仪（气相色谱法）校准规范</w:t>
      </w:r>
      <w:r>
        <w:rPr>
          <w:rFonts w:hint="default" w:ascii="Times New Roman" w:hAnsi="Times New Roman" w:eastAsia="宋体" w:cs="Times New Roman"/>
          <w:kern w:val="2"/>
          <w:sz w:val="24"/>
          <w:szCs w:val="24"/>
        </w:rPr>
        <w:t>》草案、编制说明以及征求意见稿编制。</w:t>
      </w:r>
    </w:p>
    <w:p w14:paraId="6FD5AD48">
      <w:pPr>
        <w:pStyle w:val="16"/>
        <w:tabs>
          <w:tab w:val="center" w:pos="4201"/>
          <w:tab w:val="right" w:leader="dot" w:pos="9298"/>
        </w:tabs>
        <w:spacing w:line="360" w:lineRule="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2025年7月，形成征求意见稿。</w:t>
      </w:r>
    </w:p>
    <w:p w14:paraId="416BFDDA">
      <w:pPr>
        <w:pStyle w:val="16"/>
        <w:tabs>
          <w:tab w:val="center" w:pos="4201"/>
          <w:tab w:val="right" w:leader="dot" w:pos="9298"/>
        </w:tabs>
        <w:spacing w:line="360" w:lineRule="auto"/>
        <w:rPr>
          <w:rFonts w:hint="eastAsia" w:ascii="Times New Roman" w:cs="Times New Roman"/>
          <w:sz w:val="24"/>
          <w:szCs w:val="24"/>
          <w:lang w:val="en-US" w:eastAsia="zh-CN"/>
        </w:rPr>
      </w:pPr>
      <w:r>
        <w:rPr>
          <w:rFonts w:hint="eastAsia" w:ascii="Times New Roman" w:cs="Times New Roman"/>
          <w:sz w:val="24"/>
          <w:szCs w:val="24"/>
          <w:lang w:val="en-US" w:eastAsia="zh-CN"/>
        </w:rPr>
        <w:t>2025年8月23日，全国石油专用计量测试技术委员会在山东省烟台市召开审查会，与会专家对本规范的征求意见稿及相关材料进行了审阅，起草组根据专家意见进行了完善修改，准备在全国范围征求意见。</w:t>
      </w:r>
    </w:p>
    <w:p w14:paraId="5B8CFDB2">
      <w:pPr>
        <w:pStyle w:val="16"/>
        <w:tabs>
          <w:tab w:val="center" w:pos="4201"/>
          <w:tab w:val="right" w:leader="dot" w:pos="9298"/>
        </w:tabs>
        <w:spacing w:line="360" w:lineRule="auto"/>
        <w:rPr>
          <w:rFonts w:hint="eastAsia" w:ascii="Times New Roman" w:cs="Times New Roman"/>
          <w:sz w:val="24"/>
          <w:szCs w:val="24"/>
          <w:lang w:val="en-US" w:eastAsia="zh-CN"/>
        </w:rPr>
      </w:pPr>
      <w:r>
        <w:rPr>
          <w:rFonts w:hint="eastAsia" w:ascii="Times New Roman" w:cs="Times New Roman"/>
          <w:sz w:val="24"/>
          <w:szCs w:val="24"/>
          <w:lang w:val="en-US" w:eastAsia="zh-CN"/>
        </w:rPr>
        <w:t>2025年11月14日，起草组在线上组织了规范征求意见稿预审会，邀请了全国石油专用计量测试技术委员会相关委员、中山大学相关专家等对本规范的征求意见稿及相关材料进行了审阅，起草组根据专家意见进行了修改。</w:t>
      </w:r>
    </w:p>
    <w:p w14:paraId="0A84A2D8">
      <w:pPr>
        <w:widowControl/>
        <w:spacing w:line="440" w:lineRule="exact"/>
        <w:rPr>
          <w:rFonts w:hint="default" w:eastAsia="黑体"/>
          <w:kern w:val="0"/>
          <w:sz w:val="28"/>
          <w:szCs w:val="28"/>
          <w:lang w:val="en-US" w:eastAsia="zh-CN"/>
        </w:rPr>
      </w:pPr>
      <w:r>
        <w:rPr>
          <w:rFonts w:hint="eastAsia" w:eastAsia="黑体"/>
          <w:kern w:val="0"/>
          <w:sz w:val="28"/>
          <w:szCs w:val="28"/>
          <w:lang w:val="en-US" w:eastAsia="zh-CN"/>
        </w:rPr>
        <w:t xml:space="preserve">1.4  </w:t>
      </w:r>
      <w:r>
        <w:rPr>
          <w:rFonts w:hint="eastAsia" w:eastAsia="黑体"/>
          <w:kern w:val="0"/>
          <w:sz w:val="28"/>
          <w:szCs w:val="28"/>
        </w:rPr>
        <w:t>主要</w:t>
      </w:r>
      <w:r>
        <w:rPr>
          <w:rFonts w:eastAsia="黑体"/>
          <w:kern w:val="0"/>
          <w:sz w:val="28"/>
          <w:szCs w:val="28"/>
        </w:rPr>
        <w:t>参加单位</w:t>
      </w:r>
      <w:r>
        <w:rPr>
          <w:rFonts w:hint="eastAsia" w:eastAsia="黑体"/>
          <w:kern w:val="0"/>
          <w:sz w:val="28"/>
          <w:szCs w:val="28"/>
        </w:rPr>
        <w:t>和</w:t>
      </w:r>
      <w:r>
        <w:rPr>
          <w:rFonts w:eastAsia="黑体"/>
          <w:kern w:val="0"/>
          <w:sz w:val="28"/>
          <w:szCs w:val="28"/>
        </w:rPr>
        <w:t>工作组成员</w:t>
      </w:r>
      <w:r>
        <w:rPr>
          <w:rFonts w:hint="eastAsia" w:eastAsia="黑体"/>
          <w:kern w:val="0"/>
          <w:sz w:val="28"/>
          <w:szCs w:val="28"/>
          <w:lang w:val="en-US" w:eastAsia="zh-CN"/>
        </w:rPr>
        <w:t>及分工</w:t>
      </w:r>
    </w:p>
    <w:p w14:paraId="3EB20FDE">
      <w:pPr>
        <w:widowControl/>
        <w:spacing w:line="360" w:lineRule="auto"/>
        <w:ind w:firstLine="480" w:firstLineChars="200"/>
        <w:jc w:val="left"/>
        <w:rPr>
          <w:rFonts w:hint="default"/>
          <w:sz w:val="24"/>
          <w:szCs w:val="24"/>
          <w:lang w:val="en-US" w:eastAsia="zh-CN"/>
        </w:rPr>
      </w:pPr>
      <w:r>
        <w:rPr>
          <w:rFonts w:hint="eastAsia"/>
          <w:sz w:val="24"/>
          <w:szCs w:val="24"/>
          <w:lang w:val="en-US" w:eastAsia="zh-CN"/>
        </w:rPr>
        <w:t>山东省计量科学研究院负责校准规范的方案设计、数据统计和编写工作。中国计量科学研究院负责校准规范的方案设计及文本修改工作。北京精微高博仪器有限公司负责校准规范的实验验证工作。中石化石油化工科学研究院有限公司和中国石油化工股份有限公司胜利油田分公司、辽宁省计量科学研究院等成员负责校准规范的编写工作。</w:t>
      </w:r>
    </w:p>
    <w:p w14:paraId="748FEA2D">
      <w:pPr>
        <w:widowControl/>
        <w:spacing w:line="440" w:lineRule="exact"/>
        <w:rPr>
          <w:rFonts w:hint="eastAsia" w:eastAsia="黑体"/>
          <w:kern w:val="0"/>
          <w:sz w:val="28"/>
          <w:szCs w:val="28"/>
          <w:lang w:val="en-US" w:eastAsia="zh-CN"/>
        </w:rPr>
      </w:pPr>
      <w:r>
        <w:rPr>
          <w:rFonts w:hint="eastAsia" w:eastAsia="黑体"/>
          <w:kern w:val="0"/>
          <w:sz w:val="28"/>
          <w:szCs w:val="28"/>
          <w:lang w:val="en-US" w:eastAsia="zh-CN"/>
        </w:rPr>
        <w:t>1.5  与相关国际技术文件的一致性程度、与国家标准的兼容情况</w:t>
      </w:r>
    </w:p>
    <w:p w14:paraId="439B7244">
      <w:pPr>
        <w:widowControl/>
        <w:spacing w:line="360" w:lineRule="auto"/>
        <w:ind w:firstLine="480" w:firstLineChars="200"/>
        <w:rPr>
          <w:rFonts w:hint="default" w:ascii="宋体" w:hAnsi="宋体" w:eastAsia="宋体" w:cs="宋体"/>
          <w:kern w:val="0"/>
          <w:sz w:val="24"/>
          <w:szCs w:val="24"/>
          <w:lang w:val="en-US" w:eastAsia="zh-CN"/>
        </w:rPr>
      </w:pPr>
      <w:r>
        <w:rPr>
          <w:rFonts w:hint="eastAsia" w:ascii="宋体" w:hAnsi="宋体" w:cs="宋体"/>
          <w:kern w:val="0"/>
          <w:sz w:val="24"/>
          <w:szCs w:val="24"/>
          <w:lang w:val="en-US" w:eastAsia="zh-CN"/>
        </w:rPr>
        <w:t>规范未参考</w:t>
      </w:r>
      <w:r>
        <w:rPr>
          <w:rFonts w:hint="eastAsia" w:ascii="宋体" w:hAnsi="宋体" w:eastAsia="宋体" w:cs="宋体"/>
          <w:kern w:val="0"/>
          <w:sz w:val="24"/>
          <w:szCs w:val="24"/>
          <w:lang w:val="en-US" w:eastAsia="zh-CN"/>
        </w:rPr>
        <w:t>国际技术文件</w:t>
      </w:r>
      <w:r>
        <w:rPr>
          <w:rFonts w:hint="eastAsia" w:ascii="宋体" w:hAnsi="宋体" w:cs="宋体"/>
          <w:kern w:val="0"/>
          <w:sz w:val="24"/>
          <w:szCs w:val="24"/>
          <w:lang w:val="en-US" w:eastAsia="zh-CN"/>
        </w:rPr>
        <w:t>。制定内容参考并引用了相关国家标准，与国家标准相互兼容协调。</w:t>
      </w:r>
    </w:p>
    <w:p w14:paraId="3A8B55FA">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leftChars="0"/>
        <w:textAlignment w:val="auto"/>
        <w:rPr>
          <w:rFonts w:hint="eastAsia" w:eastAsia="黑体"/>
          <w:sz w:val="28"/>
          <w:szCs w:val="28"/>
        </w:rPr>
      </w:pPr>
      <w:r>
        <w:rPr>
          <w:rFonts w:hint="eastAsia" w:eastAsia="黑体"/>
          <w:sz w:val="28"/>
          <w:szCs w:val="28"/>
          <w:lang w:val="en-US" w:eastAsia="zh-CN"/>
        </w:rPr>
        <w:t xml:space="preserve">2  </w:t>
      </w:r>
      <w:r>
        <w:rPr>
          <w:rFonts w:hint="eastAsia" w:eastAsia="黑体"/>
          <w:sz w:val="28"/>
          <w:szCs w:val="28"/>
          <w:lang w:eastAsia="zh-CN"/>
        </w:rPr>
        <w:t>规范的</w:t>
      </w:r>
      <w:r>
        <w:rPr>
          <w:rFonts w:hint="eastAsia" w:eastAsia="黑体"/>
          <w:sz w:val="28"/>
          <w:szCs w:val="28"/>
        </w:rPr>
        <w:t>编</w:t>
      </w:r>
      <w:r>
        <w:rPr>
          <w:rFonts w:hint="eastAsia" w:eastAsia="黑体"/>
          <w:sz w:val="28"/>
          <w:szCs w:val="28"/>
          <w:lang w:eastAsia="zh-CN"/>
        </w:rPr>
        <w:t>制</w:t>
      </w:r>
      <w:r>
        <w:rPr>
          <w:rFonts w:eastAsia="黑体"/>
          <w:sz w:val="28"/>
          <w:szCs w:val="28"/>
        </w:rPr>
        <w:t>原则</w:t>
      </w:r>
      <w:r>
        <w:rPr>
          <w:rFonts w:hint="eastAsia" w:eastAsia="黑体"/>
          <w:sz w:val="28"/>
          <w:szCs w:val="28"/>
        </w:rPr>
        <w:t>和</w:t>
      </w:r>
      <w:r>
        <w:rPr>
          <w:rFonts w:eastAsia="黑体"/>
          <w:sz w:val="28"/>
          <w:szCs w:val="28"/>
        </w:rPr>
        <w:t>主要内容</w:t>
      </w:r>
    </w:p>
    <w:p w14:paraId="0CCAA302">
      <w:pPr>
        <w:widowControl/>
        <w:spacing w:line="440" w:lineRule="exact"/>
        <w:jc w:val="left"/>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2.1 规范的编制原则</w:t>
      </w:r>
    </w:p>
    <w:p w14:paraId="30DFC05B">
      <w:pPr>
        <w:spacing w:line="360" w:lineRule="auto"/>
        <w:ind w:firstLine="480" w:firstLineChars="200"/>
        <w:rPr>
          <w:rFonts w:hint="default" w:ascii="Times New Roman" w:hAnsi="Times New Roman" w:eastAsia="宋体" w:cs="Times New Roman"/>
          <w:sz w:val="24"/>
          <w:szCs w:val="32"/>
        </w:rPr>
      </w:pPr>
      <w:r>
        <w:rPr>
          <w:rFonts w:hint="default" w:ascii="Times New Roman" w:hAnsi="Times New Roman" w:eastAsia="宋体" w:cs="Times New Roman"/>
          <w:sz w:val="24"/>
          <w:szCs w:val="32"/>
        </w:rPr>
        <w:t>规范编写遵循“科学、合理、先进、适用”的标准制定原则。规范编制过程中基于国家计量技术规范和国家标准给出的规则，结合实际计量测试技术进步和工作中发现的问题，查询、收集和整理计量领域基础性计量检定/校准技术规范，及</w:t>
      </w:r>
      <w:r>
        <w:rPr>
          <w:rFonts w:hint="default" w:ascii="Times New Roman" w:hAnsi="Times New Roman" w:eastAsia="宋体" w:cs="Times New Roman"/>
          <w:sz w:val="24"/>
          <w:lang w:val="en-US" w:eastAsia="zh-CN"/>
        </w:rPr>
        <w:t>动态比表面积分析仪（气相色谱法）</w:t>
      </w:r>
      <w:r>
        <w:rPr>
          <w:rFonts w:hint="default" w:ascii="Times New Roman" w:hAnsi="Times New Roman" w:eastAsia="宋体" w:cs="Times New Roman"/>
          <w:sz w:val="24"/>
          <w:szCs w:val="32"/>
        </w:rPr>
        <w:t>有关规范、文献和技术资料的基础上，经编制组多次反复研究讨论起草。满足企业的生产、科研要求，以行业标准为依据，参照其他相关行业标准中校准方法的编制，制定出满足行业技术要求的国家计量校准规范。</w:t>
      </w:r>
    </w:p>
    <w:p w14:paraId="74195164">
      <w:pPr>
        <w:widowControl/>
        <w:spacing w:line="440" w:lineRule="exact"/>
        <w:jc w:val="left"/>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2.2 规范的主要内容</w:t>
      </w:r>
    </w:p>
    <w:p w14:paraId="0D597AA8">
      <w:pPr>
        <w:spacing w:line="360" w:lineRule="auto"/>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规范的主要内容包括：</w:t>
      </w:r>
      <w:r>
        <w:rPr>
          <w:rFonts w:hint="default" w:ascii="Times New Roman" w:hAnsi="Times New Roman" w:eastAsia="宋体" w:cs="Times New Roman"/>
          <w:sz w:val="24"/>
          <w:szCs w:val="24"/>
          <w:lang w:val="en-US" w:eastAsia="zh-CN"/>
        </w:rPr>
        <w:t>引言、范围、引用文件、术语和计量单位、概述、计量特性、校准条件（环境条件和</w:t>
      </w:r>
      <w:r>
        <w:rPr>
          <w:rFonts w:hint="default" w:ascii="Times New Roman" w:hAnsi="Times New Roman" w:eastAsia="宋体" w:cs="Times New Roman"/>
          <w:sz w:val="24"/>
          <w:szCs w:val="24"/>
          <w:lang w:eastAsia="zh-CN"/>
        </w:rPr>
        <w:t>测量标准及其他设备</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sz w:val="24"/>
          <w:szCs w:val="24"/>
        </w:rPr>
        <w:t>校准项目和校准方法</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校准前的准备、示值误差、重复性、通道一致性</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校准结果表达</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复校时间间隔</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校准原始记录参考格式</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校准证书内页参考格式</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示值误差校准结果测量不确定度评定示例</w:t>
      </w:r>
      <w:r>
        <w:rPr>
          <w:rFonts w:hint="default" w:ascii="Times New Roman" w:hAnsi="Times New Roman" w:eastAsia="宋体" w:cs="Times New Roman"/>
          <w:sz w:val="24"/>
          <w:szCs w:val="24"/>
          <w:lang w:val="en-US" w:eastAsia="zh-CN"/>
        </w:rPr>
        <w:t>等内容。</w:t>
      </w:r>
    </w:p>
    <w:p w14:paraId="159E4B7D">
      <w:pPr>
        <w:numPr>
          <w:ilvl w:val="0"/>
          <w:numId w:val="0"/>
        </w:numPr>
        <w:spacing w:line="440" w:lineRule="exact"/>
        <w:ind w:leftChars="0"/>
        <w:rPr>
          <w:rFonts w:eastAsia="黑体"/>
          <w:sz w:val="28"/>
          <w:szCs w:val="28"/>
        </w:rPr>
      </w:pPr>
      <w:r>
        <w:rPr>
          <w:rFonts w:hint="eastAsia" w:eastAsia="黑体"/>
          <w:sz w:val="28"/>
          <w:szCs w:val="28"/>
          <w:lang w:val="en-US" w:eastAsia="zh-CN"/>
        </w:rPr>
        <w:t xml:space="preserve">3  </w:t>
      </w:r>
      <w:r>
        <w:rPr>
          <w:rFonts w:hint="eastAsia" w:eastAsia="黑体"/>
          <w:sz w:val="28"/>
          <w:szCs w:val="28"/>
        </w:rPr>
        <w:t>主要</w:t>
      </w:r>
      <w:r>
        <w:rPr>
          <w:rFonts w:eastAsia="黑体"/>
          <w:sz w:val="28"/>
          <w:szCs w:val="28"/>
        </w:rPr>
        <w:t>试验</w:t>
      </w:r>
      <w:r>
        <w:rPr>
          <w:rFonts w:hint="eastAsia" w:eastAsia="黑体"/>
          <w:sz w:val="28"/>
          <w:szCs w:val="28"/>
        </w:rPr>
        <w:t>验证</w:t>
      </w:r>
      <w:r>
        <w:rPr>
          <w:rFonts w:eastAsia="黑体"/>
          <w:sz w:val="28"/>
          <w:szCs w:val="28"/>
        </w:rPr>
        <w:t>情况和预期达到的效果</w:t>
      </w:r>
    </w:p>
    <w:p w14:paraId="33820BCB">
      <w:pPr>
        <w:widowControl/>
        <w:spacing w:line="440" w:lineRule="exact"/>
        <w:jc w:val="left"/>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3.1  试验条件</w:t>
      </w:r>
    </w:p>
    <w:p w14:paraId="59D9A1A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 xml:space="preserve">3.1.1  </w:t>
      </w:r>
      <w:r>
        <w:rPr>
          <w:rFonts w:hint="default" w:ascii="Times New Roman" w:hAnsi="Times New Roman" w:eastAsia="宋体" w:cs="Times New Roman"/>
          <w:sz w:val="24"/>
          <w:szCs w:val="24"/>
          <w:lang w:val="en-US" w:eastAsia="zh-CN"/>
        </w:rPr>
        <w:t>环境</w:t>
      </w:r>
      <w:r>
        <w:rPr>
          <w:rFonts w:hint="default" w:ascii="Times New Roman" w:hAnsi="Times New Roman" w:eastAsia="宋体" w:cs="Times New Roman"/>
          <w:sz w:val="24"/>
          <w:szCs w:val="24"/>
        </w:rPr>
        <w:t>条件</w:t>
      </w:r>
    </w:p>
    <w:p w14:paraId="1EF1802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sz w:val="24"/>
        </w:rPr>
      </w:pPr>
      <w:r>
        <w:rPr>
          <w:rFonts w:hint="default" w:ascii="Times New Roman" w:hAnsi="Times New Roman" w:eastAsia="宋体" w:cs="Times New Roman"/>
          <w:sz w:val="24"/>
          <w:szCs w:val="24"/>
          <w:highlight w:val="none"/>
          <w:lang w:val="en-US" w:eastAsia="zh-CN"/>
        </w:rPr>
        <w:t>规范6.1环境条件均为常规试验条件。</w:t>
      </w:r>
      <w:r>
        <w:rPr>
          <w:rFonts w:hint="default" w:ascii="Times New Roman" w:hAnsi="Times New Roman" w:eastAsia="宋体" w:cs="Times New Roman"/>
          <w:sz w:val="24"/>
        </w:rPr>
        <w:t>环境温度：（1</w:t>
      </w:r>
      <w:r>
        <w:rPr>
          <w:rFonts w:hint="default" w:ascii="Times New Roman" w:hAnsi="Times New Roman" w:eastAsia="宋体" w:cs="Times New Roman"/>
          <w:sz w:val="24"/>
          <w:lang w:val="en-US" w:eastAsia="zh-CN"/>
        </w:rPr>
        <w:t>0</w:t>
      </w:r>
      <w:r>
        <w:rPr>
          <w:rFonts w:hint="default" w:ascii="Times New Roman" w:hAnsi="Times New Roman" w:eastAsia="宋体" w:cs="Times New Roman"/>
          <w:sz w:val="24"/>
        </w:rPr>
        <w:t>～35）℃，相对湿度：≤80%。电源电压及频率：电压</w:t>
      </w:r>
      <w:r>
        <w:rPr>
          <w:rFonts w:hint="default" w:ascii="Times New Roman" w:hAnsi="Times New Roman" w:eastAsia="宋体" w:cs="Times New Roman"/>
          <w:color w:val="000000"/>
          <w:sz w:val="24"/>
        </w:rPr>
        <w:t>交流（220</w:t>
      </w:r>
      <w:r>
        <w:rPr>
          <w:rFonts w:hint="default" w:ascii="Times New Roman" w:hAnsi="Times New Roman" w:eastAsia="宋体" w:cs="Times New Roman"/>
          <w:color w:val="000000"/>
          <w:sz w:val="24"/>
          <w:lang w:val="en-US" w:eastAsia="zh-CN"/>
        </w:rPr>
        <w:t>±</w:t>
      </w:r>
      <w:r>
        <w:rPr>
          <w:rFonts w:hint="default" w:ascii="Times New Roman" w:hAnsi="Times New Roman" w:eastAsia="宋体" w:cs="Times New Roman"/>
          <w:color w:val="000000"/>
          <w:sz w:val="24"/>
        </w:rPr>
        <w:t>2</w:t>
      </w:r>
      <w:r>
        <w:rPr>
          <w:rFonts w:hint="default" w:ascii="Times New Roman" w:hAnsi="Times New Roman" w:eastAsia="宋体" w:cs="Times New Roman"/>
          <w:color w:val="000000"/>
          <w:sz w:val="24"/>
          <w:lang w:val="en-US" w:eastAsia="zh-CN"/>
        </w:rPr>
        <w:t>2</w:t>
      </w:r>
      <w:r>
        <w:rPr>
          <w:rFonts w:hint="default" w:ascii="Times New Roman" w:hAnsi="Times New Roman" w:eastAsia="宋体" w:cs="Times New Roman"/>
          <w:color w:val="000000"/>
          <w:sz w:val="24"/>
        </w:rPr>
        <w:t>）V，频率（50</w:t>
      </w:r>
      <w:r>
        <w:rPr>
          <w:rFonts w:hint="default" w:ascii="Times New Roman" w:hAnsi="Times New Roman" w:eastAsia="宋体" w:cs="Times New Roman"/>
          <w:color w:val="000000"/>
          <w:sz w:val="24"/>
          <w:lang w:val="en-US" w:eastAsia="zh-CN"/>
        </w:rPr>
        <w:t>±</w:t>
      </w:r>
      <w:r>
        <w:rPr>
          <w:rFonts w:hint="default" w:ascii="Times New Roman" w:hAnsi="Times New Roman" w:eastAsia="宋体" w:cs="Times New Roman"/>
          <w:color w:val="000000"/>
          <w:sz w:val="24"/>
        </w:rPr>
        <w:t>0.5）Hz。</w:t>
      </w:r>
      <w:r>
        <w:rPr>
          <w:rFonts w:hint="default" w:ascii="Times New Roman" w:hAnsi="Times New Roman" w:eastAsia="宋体" w:cs="Times New Roman"/>
          <w:sz w:val="24"/>
          <w:lang w:val="en-US" w:eastAsia="zh-CN"/>
        </w:rPr>
        <w:t>分析仪</w:t>
      </w:r>
      <w:r>
        <w:rPr>
          <w:rFonts w:hint="default" w:ascii="Times New Roman" w:hAnsi="Times New Roman" w:eastAsia="宋体" w:cs="Times New Roman"/>
          <w:sz w:val="24"/>
        </w:rPr>
        <w:t>放置于平稳无振动的工作台上，周围无强电磁场干扰、无腐蚀性气体、无阳光直射，避免温度</w:t>
      </w:r>
      <w:r>
        <w:rPr>
          <w:rFonts w:hint="default" w:ascii="Times New Roman" w:hAnsi="Times New Roman" w:eastAsia="宋体" w:cs="Times New Roman"/>
          <w:sz w:val="24"/>
          <w:lang w:eastAsia="zh-CN"/>
        </w:rPr>
        <w:t>、</w:t>
      </w:r>
      <w:r>
        <w:rPr>
          <w:rFonts w:hint="default" w:ascii="Times New Roman" w:hAnsi="Times New Roman" w:eastAsia="宋体" w:cs="Times New Roman"/>
          <w:sz w:val="24"/>
          <w:lang w:val="en-US" w:eastAsia="zh-CN"/>
        </w:rPr>
        <w:t>气压</w:t>
      </w:r>
      <w:r>
        <w:rPr>
          <w:rFonts w:hint="default" w:ascii="Times New Roman" w:hAnsi="Times New Roman" w:eastAsia="宋体" w:cs="Times New Roman"/>
          <w:sz w:val="24"/>
        </w:rPr>
        <w:t>急剧变化，</w:t>
      </w:r>
      <w:r>
        <w:rPr>
          <w:rFonts w:hint="default" w:ascii="Times New Roman" w:hAnsi="Times New Roman" w:eastAsia="宋体" w:cs="Times New Roman"/>
          <w:color w:val="000000"/>
          <w:sz w:val="24"/>
        </w:rPr>
        <w:t>接地良好。</w:t>
      </w:r>
    </w:p>
    <w:p w14:paraId="61DB72E9">
      <w:pPr>
        <w:keepNext w:val="0"/>
        <w:keepLines w:val="0"/>
        <w:pageBreakBefore w:val="0"/>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rPr>
        <w:t>.2</w:t>
      </w:r>
      <w:r>
        <w:rPr>
          <w:rFonts w:hint="default" w:ascii="Times New Roman" w:hAnsi="Times New Roman" w:eastAsia="宋体" w:cs="Times New Roman"/>
          <w:sz w:val="24"/>
          <w:szCs w:val="24"/>
          <w:lang w:val="en-US" w:eastAsia="zh-CN"/>
        </w:rPr>
        <w:t>.2  测量标准及其他设备</w:t>
      </w:r>
    </w:p>
    <w:p w14:paraId="07946BE5">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sz w:val="28"/>
          <w:szCs w:val="28"/>
          <w:lang w:val="en-US" w:eastAsia="zh-CN"/>
        </w:rPr>
      </w:pPr>
      <w:r>
        <w:rPr>
          <w:rFonts w:hint="default" w:ascii="Times New Roman" w:hAnsi="Times New Roman" w:eastAsia="宋体" w:cs="Times New Roman"/>
          <w:sz w:val="24"/>
          <w:szCs w:val="24"/>
          <w:highlight w:val="none"/>
          <w:lang w:val="en-US" w:eastAsia="zh-CN"/>
        </w:rPr>
        <w:t>规范6.2测量标准及其他设备中</w:t>
      </w:r>
      <w:r>
        <w:rPr>
          <w:rFonts w:hint="default" w:ascii="Times New Roman" w:hAnsi="Times New Roman" w:eastAsia="宋体" w:cs="Times New Roman"/>
          <w:color w:val="000000"/>
          <w:sz w:val="24"/>
          <w:szCs w:val="24"/>
          <w:highlight w:val="none"/>
        </w:rPr>
        <w:t>有证标准物质</w:t>
      </w:r>
      <w:r>
        <w:rPr>
          <w:rFonts w:hint="default" w:ascii="Times New Roman" w:hAnsi="Times New Roman" w:eastAsia="宋体" w:cs="Times New Roman"/>
          <w:color w:val="000000"/>
          <w:sz w:val="24"/>
          <w:szCs w:val="24"/>
          <w:highlight w:val="none"/>
          <w:lang w:eastAsia="zh-CN"/>
        </w:rPr>
        <w:t>和</w:t>
      </w:r>
      <w:r>
        <w:rPr>
          <w:rFonts w:hint="default" w:ascii="Times New Roman" w:hAnsi="Times New Roman" w:eastAsia="宋体" w:cs="Times New Roman"/>
          <w:sz w:val="24"/>
          <w:szCs w:val="24"/>
          <w:highlight w:val="none"/>
        </w:rPr>
        <w:t>电子</w:t>
      </w:r>
      <w:r>
        <w:rPr>
          <w:rFonts w:hint="default" w:ascii="Times New Roman" w:hAnsi="Times New Roman" w:eastAsia="宋体" w:cs="Times New Roman"/>
          <w:sz w:val="24"/>
          <w:szCs w:val="24"/>
          <w:highlight w:val="none"/>
          <w:lang w:val="en-US" w:eastAsia="zh-CN"/>
        </w:rPr>
        <w:t>天平</w:t>
      </w:r>
      <w:r>
        <w:rPr>
          <w:rFonts w:hint="default" w:ascii="Times New Roman" w:hAnsi="Times New Roman" w:eastAsia="宋体" w:cs="Times New Roman"/>
          <w:color w:val="000000"/>
          <w:sz w:val="24"/>
          <w:szCs w:val="24"/>
          <w:highlight w:val="none"/>
          <w:lang w:eastAsia="zh-CN"/>
        </w:rPr>
        <w:t>用于</w:t>
      </w:r>
      <w:r>
        <w:rPr>
          <w:rFonts w:hint="default" w:ascii="Times New Roman" w:hAnsi="Times New Roman" w:eastAsia="宋体" w:cs="Times New Roman"/>
          <w:color w:val="000000"/>
          <w:sz w:val="24"/>
          <w:szCs w:val="24"/>
          <w:highlight w:val="none"/>
          <w:lang w:val="en-US" w:eastAsia="zh-CN"/>
        </w:rPr>
        <w:t>校准</w:t>
      </w:r>
      <w:r>
        <w:rPr>
          <w:rFonts w:hint="default" w:ascii="Times New Roman" w:hAnsi="Times New Roman" w:eastAsia="宋体" w:cs="Times New Roman"/>
          <w:color w:val="000000"/>
          <w:sz w:val="24"/>
          <w:szCs w:val="24"/>
          <w:highlight w:val="none"/>
          <w:lang w:eastAsia="zh-CN"/>
        </w:rPr>
        <w:t>示值误差和重复性。</w:t>
      </w:r>
      <w:r>
        <w:rPr>
          <w:rFonts w:hint="default" w:ascii="Times New Roman" w:hAnsi="Times New Roman" w:eastAsia="宋体" w:cs="Times New Roman"/>
          <w:sz w:val="24"/>
          <w:highlight w:val="none"/>
          <w:lang w:val="en-US" w:eastAsia="zh-CN"/>
        </w:rPr>
        <w:t>标准物</w:t>
      </w:r>
      <w:r>
        <w:rPr>
          <w:rFonts w:hint="default" w:ascii="Times New Roman" w:hAnsi="Times New Roman" w:eastAsia="宋体" w:cs="Times New Roman"/>
          <w:sz w:val="24"/>
          <w:lang w:val="en-US" w:eastAsia="zh-CN"/>
        </w:rPr>
        <w:t>质应选择</w:t>
      </w:r>
      <w:r>
        <w:rPr>
          <w:rFonts w:hint="default" w:ascii="Times New Roman" w:hAnsi="Times New Roman" w:eastAsia="宋体" w:cs="Times New Roman"/>
          <w:sz w:val="24"/>
        </w:rPr>
        <w:t>国家计量行政部门批准的比表面积</w:t>
      </w:r>
      <w:r>
        <w:rPr>
          <w:rFonts w:hint="default" w:ascii="Times New Roman" w:hAnsi="Times New Roman" w:eastAsia="宋体" w:cs="Times New Roman"/>
          <w:sz w:val="24"/>
          <w:lang w:val="en-US" w:eastAsia="zh-CN"/>
        </w:rPr>
        <w:t>有证标准物质</w:t>
      </w:r>
      <w:r>
        <w:rPr>
          <w:rFonts w:hint="default" w:ascii="Times New Roman" w:hAnsi="Times New Roman" w:eastAsia="宋体" w:cs="Times New Roman"/>
          <w:color w:val="000000"/>
          <w:sz w:val="24"/>
          <w:szCs w:val="24"/>
          <w:lang w:eastAsia="zh-CN"/>
        </w:rPr>
        <w:t>，</w:t>
      </w:r>
      <w:r>
        <w:rPr>
          <w:rFonts w:hint="default" w:ascii="Times New Roman" w:hAnsi="Times New Roman" w:eastAsia="宋体" w:cs="Times New Roman"/>
          <w:color w:val="000000"/>
          <w:sz w:val="24"/>
          <w:szCs w:val="24"/>
          <w:highlight w:val="none"/>
          <w:lang w:val="en-US" w:eastAsia="zh-CN"/>
        </w:rPr>
        <w:t>相对扩展</w:t>
      </w:r>
      <w:r>
        <w:rPr>
          <w:rFonts w:hint="default" w:ascii="Times New Roman" w:hAnsi="Times New Roman" w:eastAsia="宋体" w:cs="Times New Roman"/>
          <w:color w:val="000000"/>
          <w:sz w:val="24"/>
          <w:szCs w:val="24"/>
          <w:highlight w:val="none"/>
        </w:rPr>
        <w:t>不确定度不大于</w:t>
      </w:r>
      <w:r>
        <w:rPr>
          <w:rFonts w:hint="eastAsia" w:cs="Times New Roman"/>
          <w:color w:val="000000"/>
          <w:sz w:val="24"/>
          <w:szCs w:val="24"/>
          <w:highlight w:val="none"/>
          <w:lang w:val="en-US" w:eastAsia="zh-CN"/>
        </w:rPr>
        <w:t>8</w:t>
      </w:r>
      <w:r>
        <w:rPr>
          <w:rFonts w:hint="default" w:ascii="Times New Roman" w:hAnsi="Times New Roman" w:eastAsia="宋体" w:cs="Times New Roman"/>
          <w:color w:val="000000"/>
          <w:sz w:val="24"/>
          <w:szCs w:val="24"/>
          <w:highlight w:val="none"/>
          <w:lang w:val="en-US" w:eastAsia="zh-CN"/>
        </w:rPr>
        <w:t>%</w:t>
      </w:r>
      <w:r>
        <w:rPr>
          <w:rFonts w:hint="default" w:ascii="Times New Roman" w:hAnsi="Times New Roman" w:eastAsia="宋体" w:cs="Times New Roman"/>
          <w:color w:val="000000"/>
          <w:sz w:val="24"/>
          <w:szCs w:val="24"/>
          <w:highlight w:val="none"/>
        </w:rPr>
        <w:t>（</w:t>
      </w:r>
      <w:r>
        <w:rPr>
          <w:rFonts w:hint="default" w:ascii="Times New Roman" w:hAnsi="Times New Roman" w:eastAsia="宋体" w:cs="Times New Roman"/>
          <w:i/>
          <w:iCs/>
          <w:color w:val="000000"/>
          <w:sz w:val="24"/>
          <w:szCs w:val="24"/>
          <w:highlight w:val="none"/>
        </w:rPr>
        <w:t>k</w:t>
      </w:r>
      <w:r>
        <w:rPr>
          <w:rFonts w:hint="default" w:ascii="Times New Roman" w:hAnsi="Times New Roman" w:eastAsia="宋体" w:cs="Times New Roman"/>
          <w:color w:val="000000"/>
          <w:sz w:val="24"/>
          <w:szCs w:val="24"/>
          <w:highlight w:val="none"/>
        </w:rPr>
        <w:t>=2）</w:t>
      </w:r>
      <w:r>
        <w:rPr>
          <w:rFonts w:hint="default" w:ascii="Times New Roman" w:hAnsi="Times New Roman" w:eastAsia="宋体" w:cs="Times New Roman"/>
          <w:color w:val="000000"/>
          <w:sz w:val="24"/>
          <w:szCs w:val="24"/>
          <w:highlight w:val="none"/>
          <w:lang w:eastAsia="zh-CN"/>
        </w:rPr>
        <w:t>。</w:t>
      </w:r>
      <w:r>
        <w:rPr>
          <w:rFonts w:hint="default" w:ascii="Times New Roman" w:hAnsi="Times New Roman" w:eastAsia="宋体" w:cs="Times New Roman"/>
          <w:color w:val="000000"/>
          <w:sz w:val="24"/>
          <w:szCs w:val="24"/>
          <w:lang w:val="en-US" w:eastAsia="zh-CN"/>
        </w:rPr>
        <w:t>天平：</w:t>
      </w:r>
      <w:r>
        <w:rPr>
          <w:rFonts w:hint="eastAsia" w:ascii="宋体" w:hAnsi="宋体" w:eastAsia="宋体" w:cs="宋体"/>
          <w:color w:val="000000"/>
          <w:sz w:val="24"/>
          <w:szCs w:val="24"/>
          <w:lang w:val="en-US" w:eastAsia="zh-CN"/>
        </w:rPr>
        <w:fldChar w:fldCharType="begin"/>
      </w:r>
      <w:r>
        <w:rPr>
          <w:rFonts w:hint="eastAsia" w:ascii="宋体" w:hAnsi="宋体" w:eastAsia="宋体" w:cs="宋体"/>
          <w:color w:val="000000"/>
          <w:sz w:val="24"/>
          <w:szCs w:val="24"/>
          <w:lang w:val="en-US" w:eastAsia="zh-CN"/>
        </w:rPr>
        <w:instrText xml:space="preserve"> EQ \o\ac(</w:instrText>
      </w:r>
      <w:r>
        <w:rPr>
          <w:rFonts w:hint="eastAsia" w:ascii="宋体" w:hAnsi="宋体" w:eastAsia="宋体" w:cs="宋体"/>
          <w:color w:val="000000"/>
          <w:kern w:val="2"/>
          <w:sz w:val="24"/>
          <w:szCs w:val="24"/>
          <w:lang w:val="en-US" w:eastAsia="zh-CN" w:bidi="ar-SA"/>
        </w:rPr>
        <w:instrText xml:space="preserve">○</w:instrText>
      </w:r>
      <w:r>
        <w:rPr>
          <w:rFonts w:hint="eastAsia" w:ascii="宋体" w:hAnsi="宋体" w:eastAsia="宋体" w:cs="宋体"/>
          <w:color w:val="000000"/>
          <w:sz w:val="24"/>
          <w:szCs w:val="24"/>
          <w:lang w:val="en-US" w:eastAsia="zh-CN"/>
        </w:rPr>
        <w:instrText xml:space="preserve">,</w:instrText>
      </w:r>
      <w:r>
        <w:rPr>
          <w:rFonts w:hint="eastAsia" w:ascii="宋体" w:hAnsi="宋体" w:eastAsia="宋体" w:cs="宋体"/>
          <w:color w:val="000000"/>
          <w:kern w:val="2"/>
          <w:position w:val="3"/>
          <w:sz w:val="16"/>
          <w:szCs w:val="24"/>
          <w:lang w:val="en-US" w:eastAsia="zh-CN" w:bidi="ar-SA"/>
        </w:rPr>
        <w:instrText xml:space="preserve">I</w:instrText>
      </w:r>
      <w:r>
        <w:rPr>
          <w:rFonts w:hint="eastAsia" w:ascii="宋体" w:hAnsi="宋体" w:eastAsia="宋体" w:cs="宋体"/>
          <w:color w:val="000000"/>
          <w:sz w:val="24"/>
          <w:szCs w:val="24"/>
          <w:lang w:val="en-US" w:eastAsia="zh-CN"/>
        </w:rPr>
        <w:instrText xml:space="preserve">)</w:instrText>
      </w:r>
      <w:r>
        <w:rPr>
          <w:rFonts w:hint="eastAsia" w:ascii="宋体" w:hAnsi="宋体" w:eastAsia="宋体" w:cs="宋体"/>
          <w:color w:val="000000"/>
          <w:sz w:val="24"/>
          <w:szCs w:val="24"/>
          <w:lang w:val="en-US" w:eastAsia="zh-CN"/>
        </w:rPr>
        <w:fldChar w:fldCharType="end"/>
      </w:r>
      <w:r>
        <w:rPr>
          <w:rFonts w:hint="default" w:ascii="Times New Roman" w:hAnsi="Times New Roman" w:eastAsia="宋体" w:cs="Times New Roman"/>
          <w:color w:val="000000"/>
          <w:sz w:val="24"/>
          <w:szCs w:val="24"/>
          <w:lang w:val="en-US" w:eastAsia="zh-CN"/>
        </w:rPr>
        <w:t>级，分度值0.1 mg。</w:t>
      </w:r>
      <w:r>
        <w:rPr>
          <w:rFonts w:hint="default" w:ascii="Times New Roman" w:hAnsi="Times New Roman" w:eastAsia="宋体" w:cs="Times New Roman"/>
          <w:color w:val="000000"/>
          <w:sz w:val="24"/>
          <w:szCs w:val="24"/>
          <w:highlight w:val="none"/>
          <w:lang w:val="en-US" w:eastAsia="zh-CN"/>
        </w:rPr>
        <w:t>气源（氦气、氮气，纯度不低于 99.99%）、恒温介质（液氮，纯度不低于98%）应满足分析仪的使用要求。</w:t>
      </w:r>
    </w:p>
    <w:p w14:paraId="26434C2D">
      <w:pPr>
        <w:widowControl/>
        <w:spacing w:line="440" w:lineRule="exact"/>
        <w:jc w:val="left"/>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3.2  试验方法</w:t>
      </w:r>
    </w:p>
    <w:p w14:paraId="49A49F4C">
      <w:pPr>
        <w:adjustRightInd w:val="0"/>
        <w:snapToGrid w:val="0"/>
        <w:spacing w:line="360" w:lineRule="auto"/>
        <w:rPr>
          <w:rFonts w:hint="default"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3</w:t>
      </w:r>
      <w:r>
        <w:rPr>
          <w:rFonts w:hint="default" w:ascii="Times New Roman" w:hAnsi="Times New Roman" w:eastAsia="宋体" w:cs="Times New Roman"/>
          <w:sz w:val="24"/>
          <w:lang w:val="en-US" w:eastAsia="zh-CN"/>
        </w:rPr>
        <w:t>.</w:t>
      </w:r>
      <w:r>
        <w:rPr>
          <w:rFonts w:hint="eastAsia" w:ascii="Times New Roman" w:hAnsi="Times New Roman" w:eastAsia="宋体" w:cs="Times New Roman"/>
          <w:sz w:val="24"/>
          <w:lang w:val="en-US" w:eastAsia="zh-CN"/>
        </w:rPr>
        <w:t>2</w:t>
      </w:r>
      <w:r>
        <w:rPr>
          <w:rFonts w:hint="default" w:ascii="Times New Roman" w:hAnsi="Times New Roman" w:eastAsia="宋体" w:cs="Times New Roman"/>
          <w:sz w:val="24"/>
          <w:lang w:val="en-US" w:eastAsia="zh-CN"/>
        </w:rPr>
        <w:t xml:space="preserve">.1  </w:t>
      </w:r>
      <w:r>
        <w:rPr>
          <w:rFonts w:hint="default" w:ascii="Times New Roman" w:hAnsi="Times New Roman" w:eastAsia="宋体" w:cs="Times New Roman"/>
          <w:sz w:val="24"/>
          <w:szCs w:val="21"/>
        </w:rPr>
        <w:t>校准前</w:t>
      </w:r>
      <w:r>
        <w:rPr>
          <w:rFonts w:hint="default" w:ascii="Times New Roman" w:hAnsi="Times New Roman" w:eastAsia="宋体" w:cs="Times New Roman"/>
          <w:sz w:val="24"/>
          <w:szCs w:val="21"/>
          <w:lang w:eastAsia="zh-CN"/>
        </w:rPr>
        <w:t>的</w:t>
      </w:r>
      <w:r>
        <w:rPr>
          <w:rFonts w:hint="default" w:ascii="Times New Roman" w:hAnsi="Times New Roman" w:eastAsia="宋体" w:cs="Times New Roman"/>
          <w:sz w:val="24"/>
          <w:szCs w:val="21"/>
        </w:rPr>
        <w:t>准备</w:t>
      </w:r>
    </w:p>
    <w:p w14:paraId="5F7441E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lang w:val="en-US" w:eastAsia="zh-CN"/>
        </w:rPr>
      </w:pPr>
      <w:r>
        <w:rPr>
          <w:rFonts w:hint="eastAsia" w:ascii="宋体" w:hAnsi="宋体"/>
          <w:sz w:val="24"/>
        </w:rPr>
        <w:t>根据送校单位</w:t>
      </w:r>
      <w:r>
        <w:rPr>
          <w:rFonts w:hint="eastAsia" w:ascii="宋体" w:hAnsi="宋体"/>
          <w:sz w:val="24"/>
          <w:lang w:val="en-US" w:eastAsia="zh-CN"/>
        </w:rPr>
        <w:t>对分析仪</w:t>
      </w:r>
      <w:r>
        <w:rPr>
          <w:rFonts w:hint="eastAsia" w:ascii="宋体" w:hAnsi="宋体"/>
          <w:sz w:val="24"/>
        </w:rPr>
        <w:t>计量特性技术指标</w:t>
      </w:r>
      <w:r>
        <w:rPr>
          <w:rFonts w:hint="eastAsia" w:ascii="宋体" w:hAnsi="宋体"/>
          <w:sz w:val="24"/>
          <w:lang w:eastAsia="zh-CN"/>
        </w:rPr>
        <w:t>的</w:t>
      </w:r>
      <w:r>
        <w:rPr>
          <w:rFonts w:hint="eastAsia" w:ascii="宋体" w:hAnsi="宋体"/>
          <w:sz w:val="24"/>
          <w:lang w:val="en-US" w:eastAsia="zh-CN"/>
        </w:rPr>
        <w:t>要求</w:t>
      </w:r>
      <w:r>
        <w:rPr>
          <w:rFonts w:hint="eastAsia" w:ascii="宋体" w:hAnsi="宋体"/>
          <w:sz w:val="24"/>
          <w:lang w:eastAsia="zh-CN"/>
        </w:rPr>
        <w:t>，</w:t>
      </w:r>
      <w:r>
        <w:rPr>
          <w:rFonts w:hint="eastAsia" w:ascii="宋体" w:hAnsi="宋体"/>
          <w:sz w:val="24"/>
          <w:lang w:val="en-US" w:eastAsia="zh-CN"/>
        </w:rPr>
        <w:t>选取比表面积量值适合的标准物质进行处理；其中参比法分析仪需选择两种量值接近的比表面积标准物质，分别进行处理。</w:t>
      </w:r>
    </w:p>
    <w:p w14:paraId="7AE8583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sz w:val="24"/>
          <w:lang w:val="en-US" w:eastAsia="zh-CN"/>
        </w:rPr>
      </w:pPr>
      <w:r>
        <w:rPr>
          <w:rFonts w:hint="default" w:ascii="Times New Roman" w:hAnsi="Times New Roman" w:cs="Times New Roman"/>
          <w:sz w:val="24"/>
          <w:lang w:eastAsia="zh-CN"/>
        </w:rPr>
        <w:t>根据被校仪器的样品使用量要求，预先称取适量的标准物质。借助长颈漏斗等合适器具将标准物质转移入已准确称取质量（</w:t>
      </w:r>
      <w:r>
        <w:rPr>
          <w:rFonts w:hint="default" w:ascii="Times New Roman" w:hAnsi="Times New Roman" w:cs="Times New Roman"/>
          <w:i/>
          <w:iCs/>
          <w:sz w:val="24"/>
          <w:lang w:eastAsia="zh-CN"/>
        </w:rPr>
        <w:t>m</w:t>
      </w:r>
      <w:r>
        <w:rPr>
          <w:rFonts w:hint="default" w:ascii="Times New Roman" w:hAnsi="Times New Roman" w:cs="Times New Roman"/>
          <w:sz w:val="24"/>
          <w:vertAlign w:val="subscript"/>
          <w:lang w:eastAsia="zh-CN"/>
        </w:rPr>
        <w:t>0</w:t>
      </w:r>
      <w:r>
        <w:rPr>
          <w:rFonts w:hint="default" w:ascii="Times New Roman" w:hAnsi="Times New Roman" w:cs="Times New Roman"/>
          <w:sz w:val="24"/>
          <w:lang w:eastAsia="zh-CN"/>
        </w:rPr>
        <w:t>）的洁净干燥的空样品管底部，</w:t>
      </w:r>
      <w:r>
        <w:rPr>
          <w:rFonts w:hint="default" w:ascii="Times New Roman" w:hAnsi="Times New Roman" w:cs="Times New Roman"/>
          <w:sz w:val="24"/>
          <w:lang w:val="en-US" w:eastAsia="zh-CN"/>
        </w:rPr>
        <w:t>注意</w:t>
      </w:r>
      <w:r>
        <w:rPr>
          <w:rFonts w:hint="default" w:ascii="Times New Roman" w:hAnsi="Times New Roman" w:cs="Times New Roman"/>
          <w:sz w:val="24"/>
          <w:lang w:eastAsia="zh-CN"/>
        </w:rPr>
        <w:t>避免标准物质黏附于样品管管壁上。将盛有标准物质的样品管紧密连接入脱气</w:t>
      </w:r>
      <w:r>
        <w:rPr>
          <w:rFonts w:hint="default" w:ascii="Times New Roman" w:hAnsi="Times New Roman" w:cs="Times New Roman"/>
          <w:sz w:val="24"/>
          <w:lang w:val="en-US" w:eastAsia="zh-CN"/>
        </w:rPr>
        <w:t>机</w:t>
      </w:r>
      <w:r>
        <w:rPr>
          <w:rFonts w:hint="default" w:ascii="Times New Roman" w:hAnsi="Times New Roman" w:cs="Times New Roman"/>
          <w:sz w:val="24"/>
          <w:lang w:eastAsia="zh-CN"/>
        </w:rPr>
        <w:t>，按照标准物质的脱气处理要求对标准物质进行</w:t>
      </w:r>
      <w:r>
        <w:rPr>
          <w:rFonts w:hint="default" w:ascii="Times New Roman" w:hAnsi="Times New Roman" w:cs="Times New Roman"/>
          <w:sz w:val="24"/>
          <w:highlight w:val="none"/>
          <w:lang w:eastAsia="zh-CN"/>
        </w:rPr>
        <w:t>真空脱气</w:t>
      </w:r>
      <w:r>
        <w:rPr>
          <w:rFonts w:hint="default" w:ascii="Times New Roman" w:hAnsi="Times New Roman" w:cs="Times New Roman"/>
          <w:sz w:val="24"/>
          <w:lang w:eastAsia="zh-CN"/>
        </w:rPr>
        <w:t>。待脱气处理后的标准物质缓慢冷却至室温后，利用电子天平准确</w:t>
      </w:r>
      <w:r>
        <w:rPr>
          <w:rFonts w:hint="default" w:ascii="Times New Roman" w:hAnsi="Times New Roman" w:cs="Times New Roman"/>
          <w:sz w:val="24"/>
          <w:lang w:val="en-US" w:eastAsia="zh-CN"/>
        </w:rPr>
        <w:t>称量</w:t>
      </w:r>
      <w:r>
        <w:rPr>
          <w:rFonts w:hint="default" w:ascii="Times New Roman" w:hAnsi="Times New Roman" w:cs="Times New Roman"/>
          <w:sz w:val="24"/>
          <w:lang w:eastAsia="zh-CN"/>
        </w:rPr>
        <w:t>盛有标准物质的样品管质量（</w:t>
      </w:r>
      <w:r>
        <w:rPr>
          <w:rFonts w:hint="default" w:ascii="Times New Roman" w:hAnsi="Times New Roman" w:cs="Times New Roman"/>
          <w:i/>
          <w:iCs/>
          <w:sz w:val="24"/>
          <w:lang w:eastAsia="zh-CN"/>
        </w:rPr>
        <w:t>m</w:t>
      </w:r>
      <w:r>
        <w:rPr>
          <w:rFonts w:hint="default" w:ascii="Times New Roman" w:hAnsi="Times New Roman" w:cs="Times New Roman"/>
          <w:sz w:val="24"/>
          <w:vertAlign w:val="subscript"/>
          <w:lang w:val="en-US" w:eastAsia="zh-CN"/>
        </w:rPr>
        <w:t>1</w:t>
      </w:r>
      <w:r>
        <w:rPr>
          <w:rFonts w:hint="default" w:ascii="Times New Roman" w:hAnsi="Times New Roman" w:cs="Times New Roman"/>
          <w:sz w:val="24"/>
          <w:lang w:eastAsia="zh-CN"/>
        </w:rPr>
        <w:t>）。该次分析</w:t>
      </w:r>
      <w:r>
        <w:rPr>
          <w:rFonts w:hint="default" w:ascii="Times New Roman" w:hAnsi="Times New Roman" w:cs="Times New Roman"/>
          <w:sz w:val="24"/>
          <w:lang w:val="en-US" w:eastAsia="zh-CN"/>
        </w:rPr>
        <w:t>测试</w:t>
      </w:r>
      <w:r>
        <w:rPr>
          <w:rFonts w:hint="default" w:ascii="Times New Roman" w:hAnsi="Times New Roman" w:cs="Times New Roman"/>
          <w:sz w:val="24"/>
          <w:lang w:eastAsia="zh-CN"/>
        </w:rPr>
        <w:t>所用标准物质的质量</w:t>
      </w:r>
      <w:r>
        <w:rPr>
          <w:rFonts w:hint="default" w:ascii="Times New Roman" w:hAnsi="Times New Roman" w:cs="Times New Roman"/>
          <w:sz w:val="24"/>
          <w:lang w:val="en-US" w:eastAsia="zh-CN"/>
        </w:rPr>
        <w:t>通过计算得到</w:t>
      </w:r>
      <w:r>
        <w:rPr>
          <w:rFonts w:hint="default" w:ascii="Times New Roman" w:hAnsi="Times New Roman" w:cs="Times New Roman"/>
          <w:sz w:val="24"/>
          <w:lang w:eastAsia="zh-CN"/>
        </w:rPr>
        <w:t>（</w:t>
      </w:r>
      <w:r>
        <w:rPr>
          <w:rFonts w:hint="default" w:ascii="Times New Roman" w:hAnsi="Times New Roman" w:cs="Times New Roman"/>
          <w:i/>
          <w:iCs/>
          <w:sz w:val="24"/>
          <w:lang w:eastAsia="zh-CN"/>
        </w:rPr>
        <w:t>m</w:t>
      </w:r>
      <w:r>
        <w:rPr>
          <w:rFonts w:hint="default" w:ascii="Times New Roman" w:hAnsi="Times New Roman" w:cs="Times New Roman"/>
          <w:sz w:val="24"/>
          <w:vertAlign w:val="baseline"/>
          <w:lang w:val="en-US" w:eastAsia="zh-CN"/>
        </w:rPr>
        <w:t>=</w:t>
      </w:r>
      <w:r>
        <w:rPr>
          <w:rFonts w:hint="default" w:ascii="Times New Roman" w:hAnsi="Times New Roman" w:cs="Times New Roman"/>
          <w:i/>
          <w:iCs/>
          <w:sz w:val="24"/>
          <w:lang w:eastAsia="zh-CN"/>
        </w:rPr>
        <w:t>m</w:t>
      </w:r>
      <w:r>
        <w:rPr>
          <w:rFonts w:hint="default" w:ascii="Times New Roman" w:hAnsi="Times New Roman" w:cs="Times New Roman"/>
          <w:sz w:val="24"/>
          <w:vertAlign w:val="subscript"/>
          <w:lang w:val="en-US" w:eastAsia="zh-CN"/>
        </w:rPr>
        <w:t>1</w:t>
      </w:r>
      <w:r>
        <w:rPr>
          <w:rFonts w:hint="default" w:ascii="Times New Roman" w:hAnsi="Times New Roman" w:eastAsia="宋体" w:cs="Times New Roman"/>
          <w:bCs/>
          <w:sz w:val="24"/>
        </w:rPr>
        <w:t>－</w:t>
      </w:r>
      <w:r>
        <w:rPr>
          <w:rFonts w:hint="default" w:ascii="Times New Roman" w:hAnsi="Times New Roman" w:cs="Times New Roman"/>
          <w:i/>
          <w:iCs/>
          <w:sz w:val="24"/>
          <w:lang w:eastAsia="zh-CN"/>
        </w:rPr>
        <w:t>m</w:t>
      </w:r>
      <w:r>
        <w:rPr>
          <w:rFonts w:hint="default" w:ascii="Times New Roman" w:hAnsi="Times New Roman" w:cs="Times New Roman"/>
          <w:sz w:val="24"/>
          <w:vertAlign w:val="subscript"/>
          <w:lang w:eastAsia="zh-CN"/>
        </w:rPr>
        <w:t>0</w:t>
      </w:r>
      <w:r>
        <w:rPr>
          <w:rFonts w:hint="default" w:ascii="Times New Roman" w:hAnsi="Times New Roman" w:cs="Times New Roman"/>
          <w:sz w:val="24"/>
          <w:lang w:eastAsia="zh-CN"/>
        </w:rPr>
        <w:t>），并在</w:t>
      </w:r>
      <w:r>
        <w:rPr>
          <w:rFonts w:hint="default" w:ascii="Times New Roman" w:hAnsi="Times New Roman" w:cs="Times New Roman"/>
          <w:sz w:val="24"/>
          <w:lang w:val="en-US" w:eastAsia="zh-CN"/>
        </w:rPr>
        <w:t>分析仪</w:t>
      </w:r>
      <w:r>
        <w:rPr>
          <w:rFonts w:hint="default" w:ascii="Times New Roman" w:hAnsi="Times New Roman" w:cs="Times New Roman"/>
          <w:sz w:val="24"/>
          <w:lang w:eastAsia="zh-CN"/>
        </w:rPr>
        <w:t>的操作程序设置中输入该标准物质试样的质量。</w:t>
      </w:r>
    </w:p>
    <w:p w14:paraId="25B683F5">
      <w:pPr>
        <w:adjustRightInd w:val="0"/>
        <w:snapToGrid w:val="0"/>
        <w:spacing w:line="360" w:lineRule="auto"/>
        <w:rPr>
          <w:rFonts w:hint="default"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3</w:t>
      </w:r>
      <w:r>
        <w:rPr>
          <w:rFonts w:hint="default" w:ascii="Times New Roman" w:hAnsi="Times New Roman" w:eastAsia="宋体" w:cs="Times New Roman"/>
          <w:sz w:val="24"/>
          <w:lang w:val="en-US" w:eastAsia="zh-CN"/>
        </w:rPr>
        <w:t>.</w:t>
      </w:r>
      <w:r>
        <w:rPr>
          <w:rFonts w:hint="eastAsia" w:ascii="Times New Roman" w:hAnsi="Times New Roman" w:eastAsia="宋体" w:cs="Times New Roman"/>
          <w:sz w:val="24"/>
          <w:lang w:val="en-US" w:eastAsia="zh-CN"/>
        </w:rPr>
        <w:t>2</w:t>
      </w:r>
      <w:r>
        <w:rPr>
          <w:rFonts w:hint="default" w:ascii="Times New Roman" w:hAnsi="Times New Roman" w:eastAsia="宋体" w:cs="Times New Roman"/>
          <w:sz w:val="24"/>
          <w:lang w:val="en-US" w:eastAsia="zh-CN"/>
        </w:rPr>
        <w:t>.</w:t>
      </w:r>
      <w:r>
        <w:rPr>
          <w:rFonts w:hint="eastAsia" w:ascii="Times New Roman" w:hAnsi="Times New Roman" w:eastAsia="宋体" w:cs="Times New Roman"/>
          <w:sz w:val="24"/>
          <w:lang w:val="en-US" w:eastAsia="zh-CN"/>
        </w:rPr>
        <w:t>2</w:t>
      </w:r>
      <w:r>
        <w:rPr>
          <w:rFonts w:hint="default" w:ascii="Times New Roman" w:hAnsi="Times New Roman" w:eastAsia="宋体" w:cs="Times New Roman"/>
          <w:sz w:val="24"/>
          <w:lang w:val="en-US" w:eastAsia="zh-CN"/>
        </w:rPr>
        <w:t xml:space="preserve">  示值误差</w:t>
      </w:r>
    </w:p>
    <w:p w14:paraId="2656B15E">
      <w:pPr>
        <w:adjustRightInd w:val="0"/>
        <w:snapToGrid w:val="0"/>
        <w:spacing w:line="360" w:lineRule="auto"/>
        <w:ind w:firstLine="480" w:firstLineChars="200"/>
        <w:rPr>
          <w:rFonts w:hint="default" w:ascii="Times New Roman" w:hAnsi="Times New Roman" w:eastAsia="宋体" w:cs="Times New Roman"/>
          <w:sz w:val="24"/>
          <w:lang w:val="en-US" w:eastAsia="zh-CN"/>
        </w:rPr>
      </w:pPr>
      <w:r>
        <w:rPr>
          <w:rFonts w:hint="eastAsia"/>
          <w:sz w:val="24"/>
        </w:rPr>
        <w:t>将</w:t>
      </w:r>
      <w:r>
        <w:rPr>
          <w:rFonts w:hint="eastAsia"/>
          <w:sz w:val="24"/>
          <w:lang w:val="en-US" w:eastAsia="zh-CN"/>
        </w:rPr>
        <w:t>完成脱气</w:t>
      </w:r>
      <w:r>
        <w:rPr>
          <w:rFonts w:hint="eastAsia"/>
          <w:sz w:val="24"/>
        </w:rPr>
        <w:t>的标准物质样品管紧密连接到</w:t>
      </w:r>
      <w:r>
        <w:rPr>
          <w:rFonts w:hint="eastAsia"/>
          <w:sz w:val="24"/>
          <w:lang w:val="en-US" w:eastAsia="zh-CN"/>
        </w:rPr>
        <w:t>分析仪</w:t>
      </w:r>
      <w:r>
        <w:rPr>
          <w:rFonts w:hint="eastAsia"/>
          <w:sz w:val="24"/>
        </w:rPr>
        <w:t>的</w:t>
      </w:r>
      <w:r>
        <w:rPr>
          <w:rFonts w:hint="eastAsia"/>
          <w:sz w:val="24"/>
          <w:lang w:val="en-US" w:eastAsia="zh-CN"/>
        </w:rPr>
        <w:t>测量</w:t>
      </w:r>
      <w:r>
        <w:rPr>
          <w:rFonts w:hint="eastAsia"/>
          <w:sz w:val="24"/>
        </w:rPr>
        <w:t>单元</w:t>
      </w:r>
      <w:r>
        <w:rPr>
          <w:rFonts w:hint="eastAsia"/>
          <w:sz w:val="24"/>
          <w:lang w:eastAsia="zh-CN"/>
        </w:rPr>
        <w:t>，</w:t>
      </w:r>
      <w:r>
        <w:rPr>
          <w:rFonts w:hint="eastAsia"/>
          <w:sz w:val="24"/>
        </w:rPr>
        <w:t>检查</w:t>
      </w:r>
      <w:r>
        <w:rPr>
          <w:rFonts w:hint="eastAsia"/>
          <w:sz w:val="24"/>
          <w:lang w:val="en-US" w:eastAsia="zh-CN"/>
        </w:rPr>
        <w:t>分析仪</w:t>
      </w:r>
      <w:r>
        <w:rPr>
          <w:rFonts w:hint="eastAsia"/>
          <w:sz w:val="24"/>
        </w:rPr>
        <w:t>载气、吸附气体和恒温/冷却介质</w:t>
      </w:r>
      <w:r>
        <w:rPr>
          <w:rFonts w:hint="eastAsia"/>
          <w:sz w:val="24"/>
          <w:lang w:eastAsia="zh-CN"/>
        </w:rPr>
        <w:t>（</w:t>
      </w:r>
      <w:r>
        <w:rPr>
          <w:rFonts w:hint="eastAsia"/>
          <w:sz w:val="24"/>
        </w:rPr>
        <w:t>液氮</w:t>
      </w:r>
      <w:r>
        <w:rPr>
          <w:rFonts w:hint="eastAsia"/>
          <w:sz w:val="24"/>
          <w:lang w:eastAsia="zh-CN"/>
        </w:rPr>
        <w:t>）</w:t>
      </w:r>
      <w:r>
        <w:rPr>
          <w:rFonts w:hint="eastAsia"/>
          <w:sz w:val="24"/>
        </w:rPr>
        <w:t>且准备就绪后</w:t>
      </w:r>
      <w:r>
        <w:rPr>
          <w:rFonts w:hint="eastAsia"/>
          <w:sz w:val="24"/>
          <w:lang w:eastAsia="zh-CN"/>
        </w:rPr>
        <w:t>，</w:t>
      </w:r>
      <w:r>
        <w:rPr>
          <w:rFonts w:hint="eastAsia"/>
          <w:sz w:val="24"/>
        </w:rPr>
        <w:t>按照</w:t>
      </w:r>
      <w:r>
        <w:rPr>
          <w:rFonts w:hint="eastAsia"/>
          <w:sz w:val="24"/>
          <w:lang w:val="en-US" w:eastAsia="zh-CN"/>
        </w:rPr>
        <w:t>分析仪</w:t>
      </w:r>
      <w:r>
        <w:rPr>
          <w:rFonts w:hint="eastAsia"/>
          <w:sz w:val="24"/>
        </w:rPr>
        <w:t>操作说明书及所选择标准物质的使用要求对被校</w:t>
      </w:r>
      <w:r>
        <w:rPr>
          <w:rFonts w:hint="eastAsia"/>
          <w:sz w:val="24"/>
          <w:lang w:val="en-US" w:eastAsia="zh-CN"/>
        </w:rPr>
        <w:t>分析仪</w:t>
      </w:r>
      <w:r>
        <w:rPr>
          <w:rFonts w:hint="eastAsia"/>
          <w:sz w:val="24"/>
        </w:rPr>
        <w:t>的实验参数</w:t>
      </w:r>
      <w:r>
        <w:rPr>
          <w:rFonts w:hint="eastAsia"/>
          <w:sz w:val="24"/>
          <w:highlight w:val="none"/>
        </w:rPr>
        <w:t>进行设置</w:t>
      </w:r>
      <w:r>
        <w:rPr>
          <w:rFonts w:hint="eastAsia"/>
          <w:sz w:val="24"/>
          <w:highlight w:val="none"/>
          <w:lang w:eastAsia="zh-CN"/>
        </w:rPr>
        <w:t>，</w:t>
      </w:r>
      <w:r>
        <w:rPr>
          <w:rFonts w:hint="eastAsia"/>
          <w:sz w:val="24"/>
          <w:highlight w:val="none"/>
        </w:rPr>
        <w:t>仪器自动采集</w:t>
      </w:r>
      <w:r>
        <w:rPr>
          <w:rFonts w:hint="eastAsia"/>
          <w:sz w:val="24"/>
          <w:highlight w:val="none"/>
          <w:lang w:val="en-US" w:eastAsia="zh-CN"/>
        </w:rPr>
        <w:t>吸附峰/脱附峰信号</w:t>
      </w:r>
      <w:r>
        <w:rPr>
          <w:rFonts w:hint="eastAsia"/>
          <w:sz w:val="24"/>
          <w:highlight w:val="none"/>
          <w:lang w:eastAsia="zh-CN"/>
        </w:rPr>
        <w:t>，</w:t>
      </w:r>
      <w:r>
        <w:rPr>
          <w:rFonts w:hint="eastAsia"/>
          <w:sz w:val="24"/>
        </w:rPr>
        <w:t>通过</w:t>
      </w:r>
      <w:r>
        <w:rPr>
          <w:rFonts w:hint="eastAsia"/>
          <w:sz w:val="24"/>
          <w:highlight w:val="none"/>
        </w:rPr>
        <w:t>仪器软件计算并给出</w:t>
      </w:r>
      <w:r>
        <w:rPr>
          <w:rFonts w:hint="eastAsia"/>
          <w:sz w:val="24"/>
          <w:highlight w:val="none"/>
          <w:lang w:val="en-US" w:eastAsia="zh-CN"/>
        </w:rPr>
        <w:t>比表面积值</w:t>
      </w:r>
      <w:r>
        <w:rPr>
          <w:rFonts w:hint="eastAsia"/>
          <w:sz w:val="24"/>
          <w:highlight w:val="none"/>
          <w:lang w:eastAsia="zh-CN"/>
        </w:rPr>
        <w:t>。</w:t>
      </w:r>
      <w:r>
        <w:rPr>
          <w:rFonts w:hint="eastAsia"/>
          <w:sz w:val="24"/>
          <w:lang w:val="en-US" w:eastAsia="zh-CN"/>
        </w:rPr>
        <w:t>在校准时用标准物质按照上述步骤重复</w:t>
      </w:r>
      <w:r>
        <w:rPr>
          <w:rFonts w:hint="eastAsia"/>
          <w:sz w:val="24"/>
        </w:rPr>
        <w:t>测量3次，</w:t>
      </w:r>
      <w:r>
        <w:rPr>
          <w:rFonts w:hint="eastAsia"/>
          <w:sz w:val="24"/>
          <w:lang w:val="en-US" w:eastAsia="zh-CN"/>
        </w:rPr>
        <w:t>计算算术平均值</w:t>
      </w:r>
      <w:r>
        <w:rPr>
          <w:sz w:val="24"/>
        </w:rPr>
        <w:t>。</w:t>
      </w:r>
      <w:r>
        <w:rPr>
          <w:rFonts w:hint="default" w:ascii="Times New Roman" w:hAnsi="Times New Roman" w:eastAsia="宋体" w:cs="Times New Roman"/>
          <w:sz w:val="24"/>
          <w:lang w:val="en-US" w:eastAsia="zh-CN"/>
        </w:rPr>
        <w:t>以相对误差表示分析仪示值误差。</w:t>
      </w:r>
    </w:p>
    <w:p w14:paraId="4FBC40A7">
      <w:pPr>
        <w:adjustRightInd w:val="0"/>
        <w:snapToGrid w:val="0"/>
        <w:spacing w:line="360" w:lineRule="auto"/>
        <w:rPr>
          <w:rFonts w:hint="default"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3</w:t>
      </w:r>
      <w:r>
        <w:rPr>
          <w:rFonts w:hint="default" w:ascii="Times New Roman" w:hAnsi="Times New Roman" w:eastAsia="宋体" w:cs="Times New Roman"/>
          <w:sz w:val="24"/>
          <w:lang w:val="en-US" w:eastAsia="zh-CN"/>
        </w:rPr>
        <w:t>.</w:t>
      </w:r>
      <w:r>
        <w:rPr>
          <w:rFonts w:hint="eastAsia" w:ascii="Times New Roman" w:hAnsi="Times New Roman" w:eastAsia="宋体" w:cs="Times New Roman"/>
          <w:sz w:val="24"/>
          <w:lang w:val="en-US" w:eastAsia="zh-CN"/>
        </w:rPr>
        <w:t>2</w:t>
      </w:r>
      <w:r>
        <w:rPr>
          <w:rFonts w:hint="default" w:ascii="Times New Roman" w:hAnsi="Times New Roman" w:eastAsia="宋体" w:cs="Times New Roman"/>
          <w:sz w:val="24"/>
          <w:lang w:val="en-US" w:eastAsia="zh-CN"/>
        </w:rPr>
        <w:t>.</w:t>
      </w:r>
      <w:r>
        <w:rPr>
          <w:rFonts w:hint="eastAsia" w:ascii="Times New Roman" w:hAnsi="Times New Roman" w:eastAsia="宋体" w:cs="Times New Roman"/>
          <w:sz w:val="24"/>
          <w:lang w:val="en-US" w:eastAsia="zh-CN"/>
        </w:rPr>
        <w:t>3</w:t>
      </w:r>
      <w:r>
        <w:rPr>
          <w:rFonts w:hint="default" w:ascii="Times New Roman" w:hAnsi="Times New Roman" w:eastAsia="宋体" w:cs="Times New Roman"/>
          <w:sz w:val="24"/>
          <w:lang w:val="en-US" w:eastAsia="zh-CN"/>
        </w:rPr>
        <w:t xml:space="preserve">  重复性</w:t>
      </w:r>
    </w:p>
    <w:p w14:paraId="761B7D48">
      <w:pPr>
        <w:adjustRightInd w:val="0"/>
        <w:snapToGrid w:val="0"/>
        <w:spacing w:line="360" w:lineRule="auto"/>
        <w:ind w:firstLine="480" w:firstLineChars="200"/>
        <w:rPr>
          <w:rFonts w:hint="default" w:ascii="Times New Roman" w:hAnsi="Times New Roman" w:eastAsia="宋体" w:cs="Times New Roman"/>
          <w:sz w:val="24"/>
          <w:lang w:val="en-US" w:eastAsia="zh-CN"/>
        </w:rPr>
      </w:pPr>
      <w:r>
        <w:rPr>
          <w:rFonts w:hint="default" w:ascii="Times New Roman" w:hAnsi="Times New Roman" w:eastAsia="宋体" w:cs="Times New Roman"/>
          <w:sz w:val="24"/>
          <w:lang w:val="en-US" w:eastAsia="zh-CN"/>
        </w:rPr>
        <w:t>本着经济合理、注重可操作性的原型，分析仪的重复性按照示值误差校准项目的数据，通过极差法计算，以相对量表示。</w:t>
      </w:r>
    </w:p>
    <w:p w14:paraId="7D7B6818">
      <w:pPr>
        <w:bidi w:val="0"/>
        <w:spacing w:line="360" w:lineRule="auto"/>
        <w:rPr>
          <w:rFonts w:hint="default" w:ascii="Times New Roman" w:hAnsi="Times New Roman" w:cs="Times New Roman"/>
          <w:sz w:val="24"/>
          <w:szCs w:val="32"/>
          <w:lang w:val="en-US" w:eastAsia="zh-CN"/>
        </w:rPr>
      </w:pPr>
      <w:r>
        <w:rPr>
          <w:rFonts w:hint="eastAsia" w:ascii="Times New Roman" w:hAnsi="Times New Roman" w:eastAsia="宋体" w:cs="Times New Roman"/>
          <w:sz w:val="24"/>
          <w:lang w:val="en-US" w:eastAsia="zh-CN"/>
        </w:rPr>
        <w:t>3</w:t>
      </w:r>
      <w:r>
        <w:rPr>
          <w:rFonts w:hint="default" w:ascii="Times New Roman" w:hAnsi="Times New Roman" w:eastAsia="宋体" w:cs="Times New Roman"/>
          <w:sz w:val="24"/>
          <w:lang w:val="en-US" w:eastAsia="zh-CN"/>
        </w:rPr>
        <w:t>.</w:t>
      </w:r>
      <w:r>
        <w:rPr>
          <w:rFonts w:hint="eastAsia" w:ascii="Times New Roman" w:hAnsi="Times New Roman" w:eastAsia="宋体" w:cs="Times New Roman"/>
          <w:sz w:val="24"/>
          <w:lang w:val="en-US" w:eastAsia="zh-CN"/>
        </w:rPr>
        <w:t>2</w:t>
      </w:r>
      <w:r>
        <w:rPr>
          <w:rFonts w:hint="default" w:ascii="Times New Roman" w:hAnsi="Times New Roman" w:eastAsia="宋体" w:cs="Times New Roman"/>
          <w:sz w:val="24"/>
          <w:lang w:val="en-US" w:eastAsia="zh-CN"/>
        </w:rPr>
        <w:t>.</w:t>
      </w:r>
      <w:r>
        <w:rPr>
          <w:rFonts w:hint="eastAsia" w:ascii="Times New Roman" w:hAnsi="Times New Roman" w:eastAsia="宋体" w:cs="Times New Roman"/>
          <w:sz w:val="24"/>
          <w:lang w:val="en-US" w:eastAsia="zh-CN"/>
        </w:rPr>
        <w:t>4</w:t>
      </w:r>
      <w:r>
        <w:rPr>
          <w:rFonts w:hint="default" w:ascii="Times New Roman" w:hAnsi="Times New Roman" w:cs="Times New Roman"/>
          <w:sz w:val="24"/>
          <w:szCs w:val="32"/>
          <w:lang w:val="en-US" w:eastAsia="zh-CN"/>
        </w:rPr>
        <w:t xml:space="preserve">  通道一致性</w:t>
      </w:r>
    </w:p>
    <w:p w14:paraId="4EBFE10B">
      <w:pPr>
        <w:bidi w:val="0"/>
        <w:spacing w:line="360" w:lineRule="auto"/>
        <w:ind w:firstLine="480" w:firstLineChars="200"/>
        <w:rPr>
          <w:rFonts w:hint="default" w:ascii="Times New Roman" w:hAnsi="Times New Roman" w:cs="Times New Roman"/>
          <w:sz w:val="24"/>
          <w:szCs w:val="32"/>
          <w:lang w:val="en-US" w:eastAsia="zh-CN"/>
        </w:rPr>
      </w:pPr>
      <w:r>
        <w:rPr>
          <w:rFonts w:hint="default" w:ascii="Times New Roman" w:hAnsi="Times New Roman" w:cs="Times New Roman"/>
          <w:sz w:val="24"/>
          <w:szCs w:val="32"/>
          <w:lang w:val="en-US" w:eastAsia="zh-CN"/>
        </w:rPr>
        <w:t>由于分析仪通常具有3~4个测试通道，为保证各通道测量数据的一致性，因此对各通道进行一致性考察。</w:t>
      </w:r>
      <w:r>
        <w:rPr>
          <w:rFonts w:hint="default"/>
          <w:sz w:val="24"/>
          <w:highlight w:val="none"/>
          <w:lang w:val="en-US" w:eastAsia="zh-CN"/>
        </w:rPr>
        <w:t>按照试验要求，</w:t>
      </w:r>
      <w:r>
        <w:rPr>
          <w:rFonts w:hint="eastAsia"/>
          <w:sz w:val="24"/>
          <w:highlight w:val="none"/>
          <w:lang w:val="en-US" w:eastAsia="zh-CN"/>
        </w:rPr>
        <w:t>对各使用通道测量</w:t>
      </w:r>
      <w:r>
        <w:rPr>
          <w:rFonts w:hint="default"/>
          <w:sz w:val="24"/>
          <w:highlight w:val="none"/>
          <w:lang w:val="en-US" w:eastAsia="zh-CN"/>
        </w:rPr>
        <w:t>相同</w:t>
      </w:r>
      <w:r>
        <w:rPr>
          <w:rFonts w:hint="eastAsia"/>
          <w:sz w:val="24"/>
          <w:highlight w:val="none"/>
          <w:lang w:val="en-US" w:eastAsia="zh-CN"/>
        </w:rPr>
        <w:t>的标准物质各3次，分别记录各通道测量值。</w:t>
      </w:r>
      <w:r>
        <w:rPr>
          <w:rFonts w:hint="default" w:ascii="Times New Roman" w:hAnsi="Times New Roman" w:cs="Times New Roman"/>
          <w:sz w:val="24"/>
          <w:szCs w:val="32"/>
          <w:lang w:val="en-US" w:eastAsia="zh-CN"/>
        </w:rPr>
        <w:t>通过通道间最大值和最小值之差同通道平均值之比来表示通道一致性。</w:t>
      </w:r>
    </w:p>
    <w:p w14:paraId="5F70B862">
      <w:pPr>
        <w:widowControl/>
        <w:spacing w:line="440" w:lineRule="exact"/>
        <w:jc w:val="left"/>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3.3  试验结果、结论</w:t>
      </w:r>
    </w:p>
    <w:p w14:paraId="60E546B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4"/>
          <w:szCs w:val="24"/>
          <w:lang w:val="en-US" w:eastAsia="zh-CN"/>
        </w:rPr>
        <w:t xml:space="preserve">  动态比表面积分析仪（气相色谱法）计量特性如表1所示。</w:t>
      </w:r>
    </w:p>
    <w:p w14:paraId="64AEF2F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lang w:eastAsia="zh-CN"/>
        </w:rPr>
        <w:t>表</w:t>
      </w:r>
      <w:r>
        <w:rPr>
          <w:rFonts w:hint="default" w:ascii="Times New Roman" w:hAnsi="Times New Roman" w:eastAsia="宋体" w:cs="Times New Roman"/>
          <w:sz w:val="22"/>
          <w:szCs w:val="22"/>
          <w:lang w:val="en-US" w:eastAsia="zh-CN"/>
        </w:rPr>
        <w:t>1  动态比表面积分析仪（气相色谱法）</w:t>
      </w:r>
      <w:r>
        <w:rPr>
          <w:rFonts w:hint="default" w:ascii="Times New Roman" w:hAnsi="Times New Roman" w:eastAsia="宋体" w:cs="Times New Roman"/>
          <w:sz w:val="22"/>
          <w:szCs w:val="22"/>
        </w:rPr>
        <w:t>计量特性</w:t>
      </w:r>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906"/>
        <w:gridCol w:w="5321"/>
      </w:tblGrid>
      <w:tr w14:paraId="734A98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06" w:type="dxa"/>
            <w:tcBorders>
              <w:top w:val="single" w:color="auto" w:sz="4" w:space="0"/>
              <w:left w:val="single" w:color="auto" w:sz="4" w:space="0"/>
              <w:bottom w:val="single" w:color="auto" w:sz="4" w:space="0"/>
              <w:right w:val="single" w:color="auto" w:sz="4" w:space="0"/>
            </w:tcBorders>
            <w:noWrap w:val="0"/>
            <w:vAlign w:val="center"/>
          </w:tcPr>
          <w:p w14:paraId="2EB93DFB">
            <w:pPr>
              <w:pStyle w:val="14"/>
              <w:keepNext w:val="0"/>
              <w:keepLines w:val="0"/>
              <w:pageBreakBefore w:val="0"/>
              <w:widowControl w:val="0"/>
              <w:tabs>
                <w:tab w:val="left" w:pos="0"/>
              </w:tabs>
              <w:kinsoku/>
              <w:wordWrap/>
              <w:overflowPunct/>
              <w:topLinePunct w:val="0"/>
              <w:autoSpaceDE/>
              <w:autoSpaceDN/>
              <w:bidi w:val="0"/>
              <w:adjustRightInd/>
              <w:snapToGrid/>
              <w:spacing w:line="300" w:lineRule="auto"/>
              <w:ind w:firstLine="0" w:firstLineChars="0"/>
              <w:jc w:val="center"/>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项目</w:t>
            </w:r>
          </w:p>
        </w:tc>
        <w:tc>
          <w:tcPr>
            <w:tcW w:w="5321" w:type="dxa"/>
            <w:tcBorders>
              <w:top w:val="single" w:color="auto" w:sz="4" w:space="0"/>
              <w:left w:val="single" w:color="auto" w:sz="4" w:space="0"/>
              <w:bottom w:val="single" w:color="auto" w:sz="4" w:space="0"/>
              <w:right w:val="single" w:color="auto" w:sz="4" w:space="0"/>
            </w:tcBorders>
            <w:noWrap w:val="0"/>
            <w:vAlign w:val="center"/>
          </w:tcPr>
          <w:p w14:paraId="2C497C31">
            <w:pPr>
              <w:pStyle w:val="14"/>
              <w:keepNext w:val="0"/>
              <w:keepLines w:val="0"/>
              <w:pageBreakBefore w:val="0"/>
              <w:widowControl w:val="0"/>
              <w:tabs>
                <w:tab w:val="left" w:pos="0"/>
              </w:tabs>
              <w:kinsoku/>
              <w:wordWrap/>
              <w:overflowPunct/>
              <w:topLinePunct w:val="0"/>
              <w:autoSpaceDE/>
              <w:autoSpaceDN/>
              <w:bidi w:val="0"/>
              <w:adjustRightInd/>
              <w:snapToGrid/>
              <w:spacing w:line="300" w:lineRule="auto"/>
              <w:ind w:firstLine="0" w:firstLineChars="0"/>
              <w:jc w:val="center"/>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技术要求</w:t>
            </w:r>
          </w:p>
        </w:tc>
      </w:tr>
      <w:tr w14:paraId="66B091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06" w:type="dxa"/>
            <w:tcBorders>
              <w:top w:val="single" w:color="auto" w:sz="4" w:space="0"/>
              <w:left w:val="single" w:color="auto" w:sz="4" w:space="0"/>
              <w:bottom w:val="single" w:color="auto" w:sz="4" w:space="0"/>
              <w:right w:val="single" w:color="auto" w:sz="4" w:space="0"/>
            </w:tcBorders>
            <w:noWrap w:val="0"/>
            <w:vAlign w:val="center"/>
          </w:tcPr>
          <w:p w14:paraId="72DE0B84">
            <w:pPr>
              <w:pStyle w:val="14"/>
              <w:keepNext w:val="0"/>
              <w:keepLines w:val="0"/>
              <w:pageBreakBefore w:val="0"/>
              <w:widowControl w:val="0"/>
              <w:tabs>
                <w:tab w:val="left" w:pos="0"/>
              </w:tabs>
              <w:kinsoku/>
              <w:wordWrap/>
              <w:overflowPunct/>
              <w:topLinePunct w:val="0"/>
              <w:autoSpaceDE/>
              <w:autoSpaceDN/>
              <w:bidi w:val="0"/>
              <w:adjustRightInd/>
              <w:snapToGrid/>
              <w:spacing w:line="300" w:lineRule="auto"/>
              <w:ind w:firstLine="0" w:firstLineChars="0"/>
              <w:jc w:val="center"/>
              <w:textAlignment w:val="auto"/>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eastAsia="宋体" w:cs="Times New Roman"/>
                <w:color w:val="000000"/>
                <w:kern w:val="0"/>
                <w:sz w:val="21"/>
                <w:szCs w:val="21"/>
              </w:rPr>
              <w:t>示值误差</w:t>
            </w:r>
          </w:p>
        </w:tc>
        <w:tc>
          <w:tcPr>
            <w:tcW w:w="5321" w:type="dxa"/>
            <w:tcBorders>
              <w:top w:val="single" w:color="auto" w:sz="4" w:space="0"/>
              <w:left w:val="single" w:color="auto" w:sz="4" w:space="0"/>
              <w:bottom w:val="single" w:color="auto" w:sz="4" w:space="0"/>
              <w:right w:val="single" w:color="auto" w:sz="4" w:space="0"/>
            </w:tcBorders>
            <w:noWrap w:val="0"/>
            <w:vAlign w:val="center"/>
          </w:tcPr>
          <w:p w14:paraId="0289F8FB">
            <w:pPr>
              <w:pStyle w:val="14"/>
              <w:keepNext w:val="0"/>
              <w:keepLines w:val="0"/>
              <w:pageBreakBefore w:val="0"/>
              <w:widowControl w:val="0"/>
              <w:tabs>
                <w:tab w:val="left" w:pos="0"/>
              </w:tabs>
              <w:kinsoku/>
              <w:wordWrap/>
              <w:overflowPunct/>
              <w:topLinePunct w:val="0"/>
              <w:autoSpaceDE/>
              <w:autoSpaceDN/>
              <w:bidi w:val="0"/>
              <w:adjustRightInd/>
              <w:snapToGrid/>
              <w:spacing w:line="300" w:lineRule="auto"/>
              <w:ind w:firstLine="0" w:firstLineChars="0"/>
              <w:jc w:val="center"/>
              <w:textAlignment w:val="auto"/>
              <w:rPr>
                <w:rFonts w:hint="default" w:ascii="Times New Roman" w:hAnsi="Times New Roman" w:eastAsia="宋体" w:cs="Times New Roman"/>
                <w:color w:val="000000"/>
                <w:kern w:val="0"/>
                <w:sz w:val="21"/>
                <w:szCs w:val="21"/>
                <w:highlight w:val="none"/>
                <w:lang w:val="en-US" w:eastAsia="zh-CN" w:bidi="ar-SA"/>
              </w:rPr>
            </w:pPr>
            <w:r>
              <w:rPr>
                <w:rFonts w:hint="default" w:ascii="Times New Roman" w:hAnsi="Times New Roman" w:eastAsia="宋体" w:cs="Times New Roman"/>
                <w:color w:val="000000"/>
                <w:kern w:val="0"/>
                <w:sz w:val="21"/>
                <w:szCs w:val="21"/>
                <w:highlight w:val="none"/>
                <w:lang w:val="en-US" w:eastAsia="zh-CN"/>
              </w:rPr>
              <w:t>不超过±1</w:t>
            </w:r>
            <w:r>
              <w:rPr>
                <w:rFonts w:hint="eastAsia" w:cs="Times New Roman"/>
                <w:color w:val="000000"/>
                <w:kern w:val="0"/>
                <w:sz w:val="21"/>
                <w:szCs w:val="21"/>
                <w:highlight w:val="none"/>
                <w:lang w:val="en-US" w:eastAsia="zh-CN"/>
              </w:rPr>
              <w:t>5</w:t>
            </w:r>
            <w:r>
              <w:rPr>
                <w:rFonts w:hint="default" w:ascii="Times New Roman" w:hAnsi="Times New Roman" w:eastAsia="宋体" w:cs="Times New Roman"/>
                <w:color w:val="000000"/>
                <w:kern w:val="0"/>
                <w:sz w:val="21"/>
                <w:szCs w:val="21"/>
                <w:highlight w:val="none"/>
              </w:rPr>
              <w:t>%</w:t>
            </w:r>
          </w:p>
        </w:tc>
      </w:tr>
      <w:tr w14:paraId="07E4D9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06" w:type="dxa"/>
            <w:tcBorders>
              <w:top w:val="single" w:color="auto" w:sz="4" w:space="0"/>
              <w:left w:val="single" w:color="auto" w:sz="4" w:space="0"/>
              <w:bottom w:val="single" w:color="auto" w:sz="4" w:space="0"/>
              <w:right w:val="single" w:color="auto" w:sz="4" w:space="0"/>
            </w:tcBorders>
            <w:noWrap w:val="0"/>
            <w:vAlign w:val="center"/>
          </w:tcPr>
          <w:p w14:paraId="7AD78852">
            <w:pPr>
              <w:pStyle w:val="14"/>
              <w:keepNext w:val="0"/>
              <w:keepLines w:val="0"/>
              <w:pageBreakBefore w:val="0"/>
              <w:widowControl w:val="0"/>
              <w:tabs>
                <w:tab w:val="left" w:pos="0"/>
              </w:tabs>
              <w:kinsoku/>
              <w:wordWrap/>
              <w:overflowPunct/>
              <w:topLinePunct w:val="0"/>
              <w:autoSpaceDE/>
              <w:autoSpaceDN/>
              <w:bidi w:val="0"/>
              <w:adjustRightInd/>
              <w:snapToGrid/>
              <w:spacing w:line="300" w:lineRule="auto"/>
              <w:ind w:firstLine="0" w:firstLineChars="0"/>
              <w:jc w:val="center"/>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重复性</w:t>
            </w:r>
          </w:p>
        </w:tc>
        <w:tc>
          <w:tcPr>
            <w:tcW w:w="5321" w:type="dxa"/>
            <w:tcBorders>
              <w:top w:val="single" w:color="auto" w:sz="4" w:space="0"/>
              <w:left w:val="single" w:color="auto" w:sz="4" w:space="0"/>
              <w:bottom w:val="single" w:color="auto" w:sz="4" w:space="0"/>
              <w:right w:val="single" w:color="auto" w:sz="4" w:space="0"/>
            </w:tcBorders>
            <w:noWrap w:val="0"/>
            <w:vAlign w:val="center"/>
          </w:tcPr>
          <w:p w14:paraId="00945686">
            <w:pPr>
              <w:pStyle w:val="14"/>
              <w:keepNext w:val="0"/>
              <w:keepLines w:val="0"/>
              <w:pageBreakBefore w:val="0"/>
              <w:widowControl w:val="0"/>
              <w:tabs>
                <w:tab w:val="left" w:pos="0"/>
              </w:tabs>
              <w:kinsoku/>
              <w:wordWrap/>
              <w:overflowPunct/>
              <w:topLinePunct w:val="0"/>
              <w:autoSpaceDE/>
              <w:autoSpaceDN/>
              <w:bidi w:val="0"/>
              <w:adjustRightInd/>
              <w:snapToGrid/>
              <w:spacing w:line="300" w:lineRule="auto"/>
              <w:ind w:firstLine="0" w:firstLineChars="0"/>
              <w:jc w:val="center"/>
              <w:textAlignment w:val="auto"/>
              <w:rPr>
                <w:rFonts w:hint="default" w:ascii="Times New Roman" w:hAnsi="Times New Roman" w:eastAsia="宋体" w:cs="Times New Roman"/>
                <w:color w:val="000000"/>
                <w:kern w:val="0"/>
                <w:sz w:val="21"/>
                <w:szCs w:val="21"/>
                <w:highlight w:val="none"/>
              </w:rPr>
            </w:pPr>
            <w:r>
              <w:rPr>
                <w:rFonts w:hint="default" w:ascii="Times New Roman" w:hAnsi="Times New Roman" w:eastAsia="宋体" w:cs="Times New Roman"/>
                <w:color w:val="000000"/>
                <w:kern w:val="0"/>
                <w:sz w:val="21"/>
                <w:szCs w:val="21"/>
                <w:highlight w:val="none"/>
              </w:rPr>
              <w:t>≤</w:t>
            </w:r>
            <w:r>
              <w:rPr>
                <w:rFonts w:hint="default" w:ascii="Times New Roman" w:hAnsi="Times New Roman" w:eastAsia="宋体" w:cs="Times New Roman"/>
                <w:color w:val="000000"/>
                <w:kern w:val="0"/>
                <w:sz w:val="21"/>
                <w:szCs w:val="21"/>
                <w:highlight w:val="none"/>
                <w:lang w:val="en-US" w:eastAsia="zh-CN"/>
              </w:rPr>
              <w:t>3</w:t>
            </w:r>
            <w:r>
              <w:rPr>
                <w:rFonts w:hint="default" w:ascii="Times New Roman" w:hAnsi="Times New Roman" w:eastAsia="宋体" w:cs="Times New Roman"/>
                <w:color w:val="000000"/>
                <w:kern w:val="0"/>
                <w:sz w:val="21"/>
                <w:szCs w:val="21"/>
                <w:highlight w:val="none"/>
              </w:rPr>
              <w:t>%</w:t>
            </w:r>
          </w:p>
        </w:tc>
      </w:tr>
      <w:tr w14:paraId="054324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06" w:type="dxa"/>
            <w:tcBorders>
              <w:top w:val="single" w:color="auto" w:sz="4" w:space="0"/>
              <w:left w:val="single" w:color="auto" w:sz="4" w:space="0"/>
              <w:bottom w:val="single" w:color="auto" w:sz="4" w:space="0"/>
              <w:right w:val="single" w:color="auto" w:sz="4" w:space="0"/>
            </w:tcBorders>
            <w:noWrap w:val="0"/>
            <w:vAlign w:val="center"/>
          </w:tcPr>
          <w:p w14:paraId="345BE337">
            <w:pPr>
              <w:pStyle w:val="14"/>
              <w:keepNext w:val="0"/>
              <w:keepLines w:val="0"/>
              <w:pageBreakBefore w:val="0"/>
              <w:widowControl w:val="0"/>
              <w:tabs>
                <w:tab w:val="left" w:pos="0"/>
              </w:tabs>
              <w:kinsoku/>
              <w:wordWrap/>
              <w:overflowPunct/>
              <w:topLinePunct w:val="0"/>
              <w:autoSpaceDE/>
              <w:autoSpaceDN/>
              <w:bidi w:val="0"/>
              <w:adjustRightInd/>
              <w:snapToGrid/>
              <w:spacing w:line="300" w:lineRule="auto"/>
              <w:ind w:firstLine="0" w:firstLineChars="0"/>
              <w:jc w:val="center"/>
              <w:textAlignment w:val="auto"/>
              <w:rPr>
                <w:rFonts w:hint="default" w:ascii="Times New Roman" w:hAnsi="Times New Roman" w:eastAsia="宋体" w:cs="Times New Roman"/>
                <w:color w:val="000000"/>
                <w:kern w:val="0"/>
                <w:sz w:val="21"/>
                <w:szCs w:val="21"/>
                <w:lang w:val="en-US" w:eastAsia="zh-CN"/>
              </w:rPr>
            </w:pPr>
            <w:r>
              <w:rPr>
                <w:rFonts w:hint="default" w:ascii="Times New Roman" w:hAnsi="Times New Roman" w:eastAsia="宋体" w:cs="Times New Roman"/>
                <w:color w:val="000000"/>
                <w:kern w:val="0"/>
                <w:sz w:val="21"/>
                <w:szCs w:val="21"/>
                <w:lang w:val="en-US" w:eastAsia="zh-CN"/>
              </w:rPr>
              <w:t>通道一致性</w:t>
            </w:r>
          </w:p>
        </w:tc>
        <w:tc>
          <w:tcPr>
            <w:tcW w:w="5321" w:type="dxa"/>
            <w:tcBorders>
              <w:top w:val="single" w:color="auto" w:sz="4" w:space="0"/>
              <w:left w:val="single" w:color="auto" w:sz="4" w:space="0"/>
              <w:bottom w:val="single" w:color="auto" w:sz="4" w:space="0"/>
              <w:right w:val="single" w:color="auto" w:sz="4" w:space="0"/>
            </w:tcBorders>
            <w:noWrap w:val="0"/>
            <w:vAlign w:val="center"/>
          </w:tcPr>
          <w:p w14:paraId="32999466">
            <w:pPr>
              <w:pStyle w:val="14"/>
              <w:keepNext w:val="0"/>
              <w:keepLines w:val="0"/>
              <w:pageBreakBefore w:val="0"/>
              <w:widowControl w:val="0"/>
              <w:tabs>
                <w:tab w:val="left" w:pos="0"/>
              </w:tabs>
              <w:kinsoku/>
              <w:wordWrap/>
              <w:overflowPunct/>
              <w:topLinePunct w:val="0"/>
              <w:autoSpaceDE/>
              <w:autoSpaceDN/>
              <w:bidi w:val="0"/>
              <w:adjustRightInd/>
              <w:snapToGrid/>
              <w:spacing w:line="300" w:lineRule="auto"/>
              <w:ind w:firstLine="0" w:firstLineChars="0"/>
              <w:jc w:val="center"/>
              <w:textAlignment w:val="auto"/>
              <w:rPr>
                <w:rFonts w:hint="default" w:ascii="Times New Roman" w:hAnsi="Times New Roman" w:eastAsia="宋体" w:cs="Times New Roman"/>
                <w:color w:val="000000"/>
                <w:kern w:val="0"/>
                <w:sz w:val="21"/>
                <w:szCs w:val="21"/>
                <w:highlight w:val="none"/>
              </w:rPr>
            </w:pPr>
            <w:r>
              <w:rPr>
                <w:rFonts w:hint="default" w:ascii="Times New Roman" w:hAnsi="Times New Roman" w:eastAsia="宋体" w:cs="Times New Roman"/>
                <w:color w:val="000000"/>
                <w:kern w:val="0"/>
                <w:sz w:val="21"/>
                <w:szCs w:val="21"/>
                <w:highlight w:val="none"/>
              </w:rPr>
              <w:t>≤</w:t>
            </w:r>
            <w:r>
              <w:rPr>
                <w:rFonts w:hint="eastAsia" w:cs="Times New Roman"/>
                <w:color w:val="000000"/>
                <w:kern w:val="0"/>
                <w:sz w:val="21"/>
                <w:szCs w:val="21"/>
                <w:highlight w:val="none"/>
                <w:lang w:val="en-US" w:eastAsia="zh-CN"/>
              </w:rPr>
              <w:t>5</w:t>
            </w:r>
            <w:r>
              <w:rPr>
                <w:rFonts w:hint="default" w:ascii="Times New Roman" w:hAnsi="Times New Roman" w:eastAsia="宋体" w:cs="Times New Roman"/>
                <w:color w:val="000000"/>
                <w:kern w:val="0"/>
                <w:sz w:val="21"/>
                <w:szCs w:val="21"/>
                <w:highlight w:val="none"/>
              </w:rPr>
              <w:t>%</w:t>
            </w:r>
          </w:p>
        </w:tc>
      </w:tr>
      <w:tr w14:paraId="3BACCC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227" w:type="dxa"/>
            <w:gridSpan w:val="2"/>
            <w:tcBorders>
              <w:top w:val="single" w:color="auto" w:sz="4" w:space="0"/>
              <w:left w:val="single" w:color="auto" w:sz="4" w:space="0"/>
              <w:bottom w:val="single" w:color="auto" w:sz="4" w:space="0"/>
              <w:right w:val="single" w:color="auto" w:sz="4" w:space="0"/>
            </w:tcBorders>
            <w:noWrap w:val="0"/>
            <w:vAlign w:val="center"/>
          </w:tcPr>
          <w:p w14:paraId="0681A444">
            <w:pPr>
              <w:keepNext w:val="0"/>
              <w:keepLines w:val="0"/>
              <w:pageBreakBefore w:val="0"/>
              <w:widowControl w:val="0"/>
              <w:kinsoku/>
              <w:wordWrap/>
              <w:overflowPunct/>
              <w:topLinePunct w:val="0"/>
              <w:autoSpaceDE/>
              <w:autoSpaceDN/>
              <w:bidi w:val="0"/>
              <w:adjustRightInd/>
              <w:snapToGrid/>
              <w:spacing w:line="300" w:lineRule="auto"/>
              <w:ind w:firstLine="210" w:firstLineChars="100"/>
              <w:jc w:val="left"/>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注：以上指标不用于合格性判定，仅供参考。</w:t>
            </w:r>
          </w:p>
        </w:tc>
      </w:tr>
    </w:tbl>
    <w:p w14:paraId="0B5AD1B4">
      <w:pPr>
        <w:adjustRightInd w:val="0"/>
        <w:snapToGrid w:val="0"/>
        <w:spacing w:line="360" w:lineRule="auto"/>
        <w:ind w:firstLine="480" w:firstLineChars="200"/>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24"/>
          <w:lang w:val="en-US" w:eastAsia="zh-CN"/>
        </w:rPr>
        <w:t>动态比表面积分析仪（气相色谱法）</w:t>
      </w:r>
      <w:r>
        <w:rPr>
          <w:rFonts w:hint="default" w:ascii="Times New Roman" w:hAnsi="Times New Roman" w:eastAsia="宋体" w:cs="Times New Roman"/>
          <w:sz w:val="24"/>
          <w:szCs w:val="32"/>
          <w:lang w:val="en-US" w:eastAsia="zh-CN"/>
        </w:rPr>
        <w:t>技术要求，</w:t>
      </w:r>
      <w:r>
        <w:rPr>
          <w:rFonts w:hint="default" w:ascii="Times New Roman" w:hAnsi="Times New Roman" w:eastAsia="宋体" w:cs="Times New Roman"/>
          <w:color w:val="000000"/>
          <w:sz w:val="24"/>
          <w:highlight w:val="none"/>
        </w:rPr>
        <w:t>计量特性指标主要</w:t>
      </w:r>
      <w:r>
        <w:rPr>
          <w:rFonts w:hint="default" w:ascii="Times New Roman" w:hAnsi="Times New Roman" w:eastAsia="宋体" w:cs="Times New Roman"/>
          <w:color w:val="000000"/>
          <w:sz w:val="24"/>
          <w:highlight w:val="none"/>
          <w:lang w:eastAsia="zh-CN"/>
        </w:rPr>
        <w:t>参考</w:t>
      </w:r>
      <w:r>
        <w:rPr>
          <w:rFonts w:hint="default" w:ascii="Times New Roman" w:hAnsi="Times New Roman" w:eastAsia="宋体" w:cs="Times New Roman"/>
          <w:sz w:val="24"/>
          <w:highlight w:val="none"/>
        </w:rPr>
        <w:t>标准物质的不确定</w:t>
      </w:r>
      <w:r>
        <w:rPr>
          <w:rFonts w:hint="default" w:ascii="Times New Roman" w:hAnsi="Times New Roman" w:eastAsia="宋体" w:cs="Times New Roman"/>
          <w:sz w:val="24"/>
          <w:highlight w:val="none"/>
          <w:lang w:eastAsia="zh-CN"/>
        </w:rPr>
        <w:t>度</w:t>
      </w:r>
      <w:r>
        <w:rPr>
          <w:rFonts w:hint="default" w:ascii="Times New Roman" w:hAnsi="Times New Roman" w:eastAsia="宋体" w:cs="Times New Roman"/>
          <w:color w:val="000000"/>
          <w:sz w:val="24"/>
          <w:highlight w:val="none"/>
          <w:lang w:eastAsia="zh-CN"/>
        </w:rPr>
        <w:t>及</w:t>
      </w:r>
      <w:r>
        <w:rPr>
          <w:rFonts w:hint="default" w:ascii="Times New Roman" w:hAnsi="Times New Roman" w:eastAsia="宋体" w:cs="Times New Roman"/>
          <w:color w:val="000000"/>
          <w:sz w:val="24"/>
          <w:highlight w:val="none"/>
        </w:rPr>
        <w:t>仪器说明书</w:t>
      </w:r>
      <w:r>
        <w:rPr>
          <w:rFonts w:hint="default" w:ascii="Times New Roman" w:hAnsi="Times New Roman" w:eastAsia="宋体" w:cs="Times New Roman"/>
          <w:color w:val="000000"/>
          <w:sz w:val="24"/>
          <w:highlight w:val="none"/>
          <w:lang w:eastAsia="zh-CN"/>
        </w:rPr>
        <w:t>等材料</w:t>
      </w:r>
      <w:r>
        <w:rPr>
          <w:rFonts w:hint="default" w:ascii="Times New Roman" w:hAnsi="Times New Roman" w:eastAsia="宋体" w:cs="Times New Roman"/>
          <w:color w:val="000000"/>
          <w:sz w:val="24"/>
          <w:highlight w:val="none"/>
        </w:rPr>
        <w:t>确定。</w:t>
      </w:r>
      <w:r>
        <w:rPr>
          <w:rFonts w:hint="default" w:ascii="Times New Roman" w:hAnsi="Times New Roman" w:eastAsia="宋体" w:cs="Times New Roman"/>
          <w:sz w:val="24"/>
          <w:szCs w:val="32"/>
          <w:lang w:val="en-US" w:eastAsia="zh-CN"/>
        </w:rPr>
        <w:t>同时通过调研北京精微高博仪器有限公司、贝士德仪器科技（北京）有限公司等国内知名生产厂家的产品，总结出主流分析仪的计量特性。</w:t>
      </w:r>
      <w:r>
        <w:rPr>
          <w:rFonts w:hint="default" w:ascii="Times New Roman" w:hAnsi="Times New Roman" w:eastAsia="宋体" w:cs="Times New Roman"/>
          <w:sz w:val="24"/>
          <w:szCs w:val="24"/>
          <w:lang w:val="en-US" w:eastAsia="zh-CN"/>
        </w:rPr>
        <w:t>分析仪的溯源性通过国家有证标准物质校准得以实现。</w:t>
      </w:r>
    </w:p>
    <w:p w14:paraId="2CDF7F04">
      <w:pPr>
        <w:numPr>
          <w:ilvl w:val="0"/>
          <w:numId w:val="0"/>
        </w:numPr>
        <w:spacing w:line="440" w:lineRule="exact"/>
        <w:ind w:leftChars="0"/>
        <w:rPr>
          <w:rFonts w:hint="eastAsia" w:eastAsia="黑体"/>
          <w:sz w:val="28"/>
          <w:szCs w:val="28"/>
          <w:lang w:val="en-US" w:eastAsia="zh-CN"/>
        </w:rPr>
      </w:pPr>
      <w:r>
        <w:rPr>
          <w:rFonts w:hint="eastAsia" w:eastAsia="黑体"/>
          <w:sz w:val="28"/>
          <w:szCs w:val="28"/>
          <w:lang w:val="en-US" w:eastAsia="zh-CN"/>
        </w:rPr>
        <w:t xml:space="preserve">4  规范中重要条款的解释  </w:t>
      </w:r>
    </w:p>
    <w:p w14:paraId="4031D49A">
      <w:pPr>
        <w:numPr>
          <w:ilvl w:val="0"/>
          <w:numId w:val="0"/>
        </w:numPr>
        <w:spacing w:line="440" w:lineRule="exact"/>
        <w:ind w:leftChars="0" w:firstLine="480" w:firstLineChars="200"/>
        <w:rPr>
          <w:rFonts w:hint="eastAsia" w:eastAsia="黑体"/>
          <w:sz w:val="28"/>
          <w:szCs w:val="28"/>
          <w:lang w:val="en-US" w:eastAsia="zh-CN"/>
        </w:rPr>
      </w:pPr>
      <w:r>
        <w:rPr>
          <w:rFonts w:hint="default" w:ascii="Times New Roman" w:hAnsi="Times New Roman" w:cs="Times New Roman"/>
          <w:sz w:val="24"/>
          <w:szCs w:val="32"/>
          <w:lang w:val="en-US" w:eastAsia="zh-CN"/>
        </w:rPr>
        <w:t>规范中没有需要解释的重要条款。</w:t>
      </w:r>
    </w:p>
    <w:p w14:paraId="1A687D2A">
      <w:pPr>
        <w:numPr>
          <w:ilvl w:val="0"/>
          <w:numId w:val="0"/>
        </w:numPr>
        <w:spacing w:line="440" w:lineRule="exact"/>
        <w:ind w:leftChars="0"/>
        <w:rPr>
          <w:rFonts w:hint="eastAsia" w:eastAsia="黑体"/>
          <w:sz w:val="28"/>
          <w:szCs w:val="28"/>
          <w:lang w:val="en-US" w:eastAsia="zh-CN"/>
        </w:rPr>
      </w:pPr>
      <w:r>
        <w:rPr>
          <w:rFonts w:hint="eastAsia" w:eastAsia="黑体"/>
          <w:sz w:val="28"/>
          <w:szCs w:val="28"/>
          <w:lang w:val="en-US" w:eastAsia="zh-CN"/>
        </w:rPr>
        <w:t>5  重大分歧意见的处理结果和依据</w:t>
      </w:r>
    </w:p>
    <w:p w14:paraId="304A89A9">
      <w:pPr>
        <w:bidi w:val="0"/>
        <w:spacing w:line="360" w:lineRule="auto"/>
        <w:ind w:firstLine="480" w:firstLineChars="200"/>
        <w:rPr>
          <w:rFonts w:hint="default" w:ascii="Times New Roman" w:hAnsi="Times New Roman" w:cs="Times New Roman"/>
          <w:sz w:val="24"/>
          <w:szCs w:val="32"/>
          <w:lang w:val="en-US" w:eastAsia="zh-CN"/>
        </w:rPr>
      </w:pPr>
      <w:r>
        <w:rPr>
          <w:rFonts w:hint="default" w:ascii="Times New Roman" w:hAnsi="Times New Roman" w:cs="Times New Roman"/>
          <w:sz w:val="24"/>
          <w:szCs w:val="32"/>
          <w:lang w:val="en-US" w:eastAsia="zh-CN"/>
        </w:rPr>
        <w:t>规范内容、格式等没有产生重大分歧。</w:t>
      </w:r>
    </w:p>
    <w:p w14:paraId="30648011">
      <w:pPr>
        <w:keepNext w:val="0"/>
        <w:keepLines w:val="0"/>
        <w:widowControl/>
        <w:suppressLineNumbers w:val="0"/>
        <w:jc w:val="left"/>
        <w:rPr>
          <w:rFonts w:hint="default" w:eastAsia="黑体"/>
          <w:sz w:val="28"/>
          <w:szCs w:val="28"/>
          <w:lang w:val="en-US" w:eastAsia="zh-CN"/>
        </w:rPr>
      </w:pPr>
      <w:r>
        <w:rPr>
          <w:rFonts w:hint="eastAsia" w:eastAsia="黑体"/>
          <w:sz w:val="28"/>
          <w:szCs w:val="28"/>
          <w:lang w:val="en-US" w:eastAsia="zh-CN"/>
        </w:rPr>
        <w:t>6  实施技术规范的风险评估及对经济社会发展可能产生的影响</w:t>
      </w:r>
    </w:p>
    <w:p w14:paraId="5D26E050">
      <w:pPr>
        <w:bidi w:val="0"/>
        <w:spacing w:line="360" w:lineRule="auto"/>
        <w:ind w:firstLine="480" w:firstLineChars="200"/>
        <w:rPr>
          <w:rFonts w:hint="default" w:ascii="Times New Roman" w:hAnsi="Times New Roman" w:cs="Times New Roman"/>
          <w:sz w:val="24"/>
          <w:szCs w:val="32"/>
          <w:lang w:val="en-US" w:eastAsia="zh-CN"/>
        </w:rPr>
      </w:pPr>
      <w:r>
        <w:rPr>
          <w:rFonts w:hint="default" w:ascii="Times New Roman" w:hAnsi="Times New Roman" w:cs="Times New Roman"/>
          <w:sz w:val="24"/>
          <w:szCs w:val="32"/>
          <w:lang w:val="en-US" w:eastAsia="zh-CN"/>
        </w:rPr>
        <w:t>规范的编写为</w:t>
      </w:r>
      <w:r>
        <w:rPr>
          <w:rFonts w:hint="default" w:ascii="Times New Roman" w:hAnsi="Times New Roman" w:cs="Times New Roman"/>
          <w:color w:val="000000"/>
          <w:kern w:val="0"/>
          <w:sz w:val="24"/>
          <w:lang w:val="en-US" w:eastAsia="zh-CN"/>
        </w:rPr>
        <w:t>动态比表面积分析仪（气相色谱法）</w:t>
      </w:r>
      <w:r>
        <w:rPr>
          <w:rFonts w:hint="default" w:ascii="Times New Roman" w:hAnsi="Times New Roman" w:cs="Times New Roman"/>
          <w:sz w:val="24"/>
          <w:szCs w:val="32"/>
          <w:lang w:val="en-US" w:eastAsia="zh-CN"/>
        </w:rPr>
        <w:t>提供了校准的技术依据。规范的实施将进一步保证分析仪的计量可靠性，为材料的生产、加工、表征提供更准确的数据。在国内最主要的生产厂家开展了主要计量特性的试验验证工作。经过以上的试验全面验证了规范条款的适用性和可行性。试验结果证明本规范的主要计量特性和校准方法是合理并且科学适用的，可应用到实际校准工作中。</w:t>
      </w:r>
    </w:p>
    <w:p w14:paraId="02071777">
      <w:pPr>
        <w:keepNext w:val="0"/>
        <w:keepLines w:val="0"/>
        <w:widowControl/>
        <w:suppressLineNumbers w:val="0"/>
        <w:jc w:val="left"/>
        <w:rPr>
          <w:rFonts w:hint="eastAsia" w:eastAsia="黑体"/>
          <w:sz w:val="28"/>
          <w:szCs w:val="28"/>
          <w:lang w:val="en-US" w:eastAsia="zh-CN"/>
        </w:rPr>
      </w:pPr>
      <w:r>
        <w:rPr>
          <w:rFonts w:hint="eastAsia" w:eastAsia="黑体"/>
          <w:sz w:val="28"/>
          <w:szCs w:val="28"/>
          <w:lang w:val="en-US" w:eastAsia="zh-CN"/>
        </w:rPr>
        <w:t>7  贯彻实施国家计量技术规范的要求、措施、过渡期和实施日期等建议</w:t>
      </w:r>
    </w:p>
    <w:p w14:paraId="4CBADD86">
      <w:pPr>
        <w:widowControl/>
        <w:spacing w:line="440" w:lineRule="exact"/>
        <w:ind w:firstLine="480" w:firstLineChars="200"/>
        <w:jc w:val="left"/>
        <w:rPr>
          <w:rFonts w:hint="default" w:eastAsia="黑体"/>
          <w:sz w:val="24"/>
          <w:szCs w:val="24"/>
          <w:lang w:val="en-US" w:eastAsia="zh-CN"/>
        </w:rPr>
      </w:pPr>
      <w:r>
        <w:rPr>
          <w:rFonts w:hint="eastAsia"/>
          <w:sz w:val="24"/>
          <w:szCs w:val="24"/>
          <w:lang w:val="en-US" w:eastAsia="zh-CN"/>
        </w:rPr>
        <w:t>因规范使用标准物质实现量值溯源及保障量值准确性，为贯彻规范实施建议丰富相关标准物质种类，保障标准物质生产。</w:t>
      </w:r>
    </w:p>
    <w:p w14:paraId="677C0CBE">
      <w:pPr>
        <w:numPr>
          <w:ilvl w:val="0"/>
          <w:numId w:val="0"/>
        </w:numPr>
        <w:spacing w:line="440" w:lineRule="exact"/>
        <w:ind w:leftChars="0"/>
        <w:rPr>
          <w:rFonts w:eastAsia="黑体"/>
          <w:sz w:val="28"/>
          <w:szCs w:val="28"/>
        </w:rPr>
      </w:pPr>
      <w:r>
        <w:rPr>
          <w:rFonts w:hint="eastAsia" w:eastAsia="黑体"/>
          <w:sz w:val="28"/>
          <w:szCs w:val="28"/>
          <w:lang w:val="en-US" w:eastAsia="zh-CN"/>
        </w:rPr>
        <w:t xml:space="preserve">8  </w:t>
      </w:r>
      <w:r>
        <w:rPr>
          <w:rFonts w:hint="eastAsia" w:eastAsia="黑体"/>
          <w:sz w:val="28"/>
          <w:szCs w:val="28"/>
        </w:rPr>
        <w:t>涉及专利的有关说明</w:t>
      </w:r>
    </w:p>
    <w:p w14:paraId="2BA3D3D0">
      <w:pPr>
        <w:numPr>
          <w:ilvl w:val="0"/>
          <w:numId w:val="0"/>
        </w:numPr>
        <w:spacing w:line="440" w:lineRule="exact"/>
        <w:ind w:leftChars="0" w:firstLine="480" w:firstLineChars="200"/>
        <w:rPr>
          <w:rFonts w:hint="eastAsia" w:eastAsia="黑体"/>
          <w:sz w:val="28"/>
          <w:szCs w:val="28"/>
          <w:lang w:val="en-US" w:eastAsia="zh-CN"/>
        </w:rPr>
      </w:pPr>
      <w:r>
        <w:rPr>
          <w:rFonts w:hint="default" w:ascii="Times New Roman" w:hAnsi="Times New Roman" w:cs="Times New Roman"/>
          <w:sz w:val="24"/>
          <w:szCs w:val="32"/>
          <w:lang w:val="en-US" w:eastAsia="zh-CN"/>
        </w:rPr>
        <w:t>规范中</w:t>
      </w:r>
      <w:r>
        <w:rPr>
          <w:rFonts w:hint="eastAsia" w:ascii="Times New Roman" w:hAnsi="Times New Roman" w:cs="Times New Roman"/>
          <w:sz w:val="24"/>
          <w:szCs w:val="32"/>
          <w:lang w:val="en-US" w:eastAsia="zh-CN"/>
        </w:rPr>
        <w:t>未涉及相关专利</w:t>
      </w:r>
      <w:r>
        <w:rPr>
          <w:rFonts w:hint="default" w:ascii="Times New Roman" w:hAnsi="Times New Roman" w:cs="Times New Roman"/>
          <w:sz w:val="24"/>
          <w:szCs w:val="32"/>
          <w:lang w:val="en-US" w:eastAsia="zh-CN"/>
        </w:rPr>
        <w:t>。</w:t>
      </w:r>
    </w:p>
    <w:p w14:paraId="1C9753B8">
      <w:pPr>
        <w:numPr>
          <w:ilvl w:val="0"/>
          <w:numId w:val="0"/>
        </w:numPr>
        <w:spacing w:line="440" w:lineRule="exact"/>
        <w:ind w:leftChars="0"/>
        <w:rPr>
          <w:rFonts w:hint="eastAsia" w:eastAsia="黑体"/>
          <w:sz w:val="28"/>
          <w:szCs w:val="28"/>
        </w:rPr>
      </w:pPr>
      <w:r>
        <w:rPr>
          <w:rFonts w:hint="eastAsia" w:eastAsia="黑体"/>
          <w:sz w:val="28"/>
          <w:szCs w:val="28"/>
          <w:lang w:val="en-US" w:eastAsia="zh-CN"/>
        </w:rPr>
        <w:t xml:space="preserve">9  </w:t>
      </w:r>
      <w:r>
        <w:rPr>
          <w:rFonts w:hint="eastAsia" w:eastAsia="黑体"/>
          <w:sz w:val="28"/>
          <w:szCs w:val="28"/>
        </w:rPr>
        <w:t>其他应当说明的事项</w:t>
      </w:r>
    </w:p>
    <w:p w14:paraId="1FC2E0A7">
      <w:pPr>
        <w:numPr>
          <w:ilvl w:val="0"/>
          <w:numId w:val="0"/>
        </w:numPr>
        <w:spacing w:line="440" w:lineRule="exact"/>
        <w:ind w:leftChars="0"/>
      </w:pPr>
      <w:r>
        <w:rPr>
          <w:rFonts w:hint="eastAsia"/>
          <w:sz w:val="28"/>
          <w:szCs w:val="28"/>
          <w:lang w:val="en-US" w:eastAsia="zh-CN"/>
        </w:rPr>
        <w:t xml:space="preserve">  </w:t>
      </w:r>
      <w:r>
        <w:rPr>
          <w:rFonts w:hint="eastAsia"/>
          <w:sz w:val="24"/>
          <w:szCs w:val="24"/>
          <w:lang w:val="en-US" w:eastAsia="zh-CN"/>
        </w:rPr>
        <w:t xml:space="preserve"> 无</w:t>
      </w:r>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ongolian Baiti">
    <w:panose1 w:val="03000500000000000000"/>
    <w:charset w:val="00"/>
    <w:family w:val="script"/>
    <w:pitch w:val="default"/>
    <w:sig w:usb0="80000023" w:usb1="00000000" w:usb2="0002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66170401"/>
      <w:docPartObj>
        <w:docPartGallery w:val="autotext"/>
      </w:docPartObj>
    </w:sdtPr>
    <w:sdtContent>
      <w:p w14:paraId="3D4CDEE6">
        <w:pPr>
          <w:pStyle w:val="4"/>
          <w:jc w:val="center"/>
        </w:pPr>
        <w:r>
          <w:fldChar w:fldCharType="begin"/>
        </w:r>
        <w:r>
          <w:instrText xml:space="preserve">PAGE   \* MERGEFORMAT</w:instrText>
        </w:r>
        <w:r>
          <w:fldChar w:fldCharType="separate"/>
        </w:r>
        <w:r>
          <w:rPr>
            <w:lang w:val="zh-CN"/>
          </w:rPr>
          <w:t>1</w:t>
        </w:r>
        <w:r>
          <w:fldChar w:fldCharType="end"/>
        </w:r>
      </w:p>
    </w:sdtContent>
  </w:sdt>
  <w:p w14:paraId="1A989D45">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545D00"/>
    <w:multiLevelType w:val="multilevel"/>
    <w:tmpl w:val="67545D0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JiNDVhYmNiNmJmOWE2ZGZhYWIzNTZiYTQxZjVhYjUifQ=="/>
    <w:docVar w:name="KSO_WPS_MARK_KEY" w:val="e09e88f8-7ec3-43a8-becb-8d3f336b12c0"/>
  </w:docVars>
  <w:rsids>
    <w:rsidRoot w:val="00302AD2"/>
    <w:rsid w:val="00302AD2"/>
    <w:rsid w:val="005355E3"/>
    <w:rsid w:val="007A0AEA"/>
    <w:rsid w:val="0082648E"/>
    <w:rsid w:val="00B70A6C"/>
    <w:rsid w:val="017320FB"/>
    <w:rsid w:val="02455681"/>
    <w:rsid w:val="0AE962F7"/>
    <w:rsid w:val="0B557E7B"/>
    <w:rsid w:val="0C0076B2"/>
    <w:rsid w:val="0DD73DA9"/>
    <w:rsid w:val="124C5D4F"/>
    <w:rsid w:val="12ED39F4"/>
    <w:rsid w:val="13D33102"/>
    <w:rsid w:val="157E37A9"/>
    <w:rsid w:val="1DB87F26"/>
    <w:rsid w:val="1E57048B"/>
    <w:rsid w:val="1FDB6FCA"/>
    <w:rsid w:val="28316CE0"/>
    <w:rsid w:val="2F012479"/>
    <w:rsid w:val="34EF42BA"/>
    <w:rsid w:val="37F46B3F"/>
    <w:rsid w:val="3AE80991"/>
    <w:rsid w:val="3B3B601E"/>
    <w:rsid w:val="3C280096"/>
    <w:rsid w:val="3CA803D8"/>
    <w:rsid w:val="3DAC4019"/>
    <w:rsid w:val="435816D4"/>
    <w:rsid w:val="500126DA"/>
    <w:rsid w:val="53C54A7E"/>
    <w:rsid w:val="5ED6087B"/>
    <w:rsid w:val="617D1584"/>
    <w:rsid w:val="65EE2A50"/>
    <w:rsid w:val="677A75D3"/>
    <w:rsid w:val="69A30CB5"/>
    <w:rsid w:val="6A487D63"/>
    <w:rsid w:val="6B9D1315"/>
    <w:rsid w:val="734B3290"/>
    <w:rsid w:val="738642C8"/>
    <w:rsid w:val="75C34BC5"/>
    <w:rsid w:val="77E92E21"/>
    <w:rsid w:val="79294073"/>
    <w:rsid w:val="797804D9"/>
    <w:rsid w:val="7C636A55"/>
    <w:rsid w:val="7E350DC4"/>
    <w:rsid w:val="7EC43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0"/>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9"/>
    <w:qFormat/>
    <w:uiPriority w:val="0"/>
    <w:pPr>
      <w:keepNext/>
      <w:keepLines/>
      <w:spacing w:before="260" w:after="260" w:line="416" w:lineRule="auto"/>
      <w:outlineLvl w:val="1"/>
    </w:pPr>
    <w:rPr>
      <w:rFonts w:ascii="Arial" w:hAnsi="Arial" w:eastAsia="黑体"/>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1"/>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标题 1 字符"/>
    <w:basedOn w:val="7"/>
    <w:qFormat/>
    <w:uiPriority w:val="9"/>
    <w:rPr>
      <w:rFonts w:ascii="Times New Roman" w:hAnsi="Times New Roman" w:eastAsia="宋体" w:cs="Times New Roman"/>
      <w:b/>
      <w:bCs/>
      <w:kern w:val="44"/>
      <w:sz w:val="44"/>
      <w:szCs w:val="44"/>
    </w:rPr>
  </w:style>
  <w:style w:type="character" w:customStyle="1" w:styleId="9">
    <w:name w:val="标题 2 字符"/>
    <w:basedOn w:val="7"/>
    <w:link w:val="3"/>
    <w:qFormat/>
    <w:uiPriority w:val="0"/>
    <w:rPr>
      <w:rFonts w:ascii="Arial" w:hAnsi="Arial" w:eastAsia="黑体" w:cs="Times New Roman"/>
      <w:b/>
      <w:bCs/>
      <w:sz w:val="32"/>
      <w:szCs w:val="32"/>
    </w:rPr>
  </w:style>
  <w:style w:type="character" w:customStyle="1" w:styleId="10">
    <w:name w:val="标题 1 Char"/>
    <w:link w:val="2"/>
    <w:qFormat/>
    <w:uiPriority w:val="0"/>
    <w:rPr>
      <w:rFonts w:ascii="Times New Roman" w:hAnsi="Times New Roman" w:eastAsia="宋体" w:cs="Times New Roman"/>
      <w:b/>
      <w:bCs/>
      <w:kern w:val="44"/>
      <w:sz w:val="44"/>
      <w:szCs w:val="44"/>
    </w:rPr>
  </w:style>
  <w:style w:type="character" w:customStyle="1" w:styleId="11">
    <w:name w:val="页脚 Char"/>
    <w:link w:val="4"/>
    <w:qFormat/>
    <w:uiPriority w:val="0"/>
    <w:rPr>
      <w:sz w:val="18"/>
      <w:szCs w:val="18"/>
    </w:rPr>
  </w:style>
  <w:style w:type="paragraph" w:customStyle="1" w:styleId="12">
    <w:name w:val="封面标准文稿类别"/>
    <w:qFormat/>
    <w:uiPriority w:val="0"/>
    <w:pPr>
      <w:spacing w:before="440" w:line="400" w:lineRule="exact"/>
      <w:jc w:val="center"/>
    </w:pPr>
    <w:rPr>
      <w:rFonts w:ascii="宋体" w:hAnsi="Times New Roman" w:eastAsia="宋体" w:cs="Times New Roman"/>
      <w:kern w:val="0"/>
      <w:sz w:val="24"/>
      <w:szCs w:val="20"/>
      <w:lang w:val="en-US" w:eastAsia="zh-CN" w:bidi="ar-SA"/>
    </w:rPr>
  </w:style>
  <w:style w:type="character" w:customStyle="1" w:styleId="13">
    <w:name w:val="页脚 字符"/>
    <w:basedOn w:val="7"/>
    <w:qFormat/>
    <w:uiPriority w:val="99"/>
    <w:rPr>
      <w:rFonts w:ascii="Times New Roman" w:hAnsi="Times New Roman" w:eastAsia="宋体" w:cs="Times New Roman"/>
      <w:sz w:val="18"/>
      <w:szCs w:val="18"/>
    </w:rPr>
  </w:style>
  <w:style w:type="paragraph" w:styleId="14">
    <w:name w:val="List Paragraph"/>
    <w:basedOn w:val="1"/>
    <w:qFormat/>
    <w:uiPriority w:val="99"/>
    <w:pPr>
      <w:ind w:firstLine="420" w:firstLineChars="200"/>
    </w:pPr>
  </w:style>
  <w:style w:type="character" w:customStyle="1" w:styleId="15">
    <w:name w:val="页眉 字符"/>
    <w:basedOn w:val="7"/>
    <w:link w:val="5"/>
    <w:qFormat/>
    <w:uiPriority w:val="99"/>
    <w:rPr>
      <w:rFonts w:ascii="Times New Roman" w:hAnsi="Times New Roman" w:eastAsia="宋体" w:cs="Times New Roman"/>
      <w:sz w:val="18"/>
      <w:szCs w:val="18"/>
    </w:rPr>
  </w:style>
  <w:style w:type="paragraph" w:customStyle="1" w:styleId="16">
    <w:name w:val="段"/>
    <w:qFormat/>
    <w:uiPriority w:val="0"/>
    <w:pPr>
      <w:autoSpaceDE w:val="0"/>
      <w:autoSpaceDN w:val="0"/>
      <w:ind w:firstLine="200" w:firstLineChars="200"/>
      <w:jc w:val="both"/>
    </w:pPr>
    <w:rPr>
      <w:rFonts w:ascii="宋体" w:hAnsi="Times New Roman" w:eastAsia="宋体" w:cs="Mongolian Baiti"/>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3704</Words>
  <Characters>3904</Characters>
  <Lines>2</Lines>
  <Paragraphs>1</Paragraphs>
  <TotalTime>4</TotalTime>
  <ScaleCrop>false</ScaleCrop>
  <LinksUpToDate>false</LinksUpToDate>
  <CharactersWithSpaces>3976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2023-07-24T07:48:00Z</dcterms:created>
  <dc:creator>AutoBVT</dc:creator>
  <cp:lastModifiedBy>森</cp:lastModifiedBy>
  <dcterms:modified xsi:type="dcterms:W3CDTF">2026-02-08T13:27:05Z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908BA3B0A527482D9DCED1FFE84FB126_13</vt:lpwstr>
  </property>
  <property fmtid="{D5CDD505-2E9C-101B-9397-08002B2CF9AE}" pid="4" name="KSOTemplateDocerSaveRecord">
    <vt:lpwstr>eyJoZGlkIjoiMTBjZTIzZjA1MTY2YWZjMzgwYjA4MjBhMWY3ZDJkODgiLCJ1c2VySWQiOiI3NTcwMTQ2NjcifQ==</vt:lpwstr>
  </property>
</Properties>
</file>